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30DEC" w14:textId="1B4D11B7" w:rsidR="002B1FDC" w:rsidRPr="000141F6" w:rsidRDefault="00D10648">
      <w:r w:rsidRPr="000141F6">
        <w:rPr>
          <w:noProof/>
        </w:rPr>
        <w:drawing>
          <wp:inline distT="0" distB="0" distL="0" distR="0" wp14:anchorId="76AD5ABD" wp14:editId="0E9BAB60">
            <wp:extent cx="952500" cy="952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diagram&#10;&#10;Description automatically generated"/>
                    <pic:cNvPicPr>
                      <a:picLocks noChangeAspect="1" noChangeArrowheads="1"/>
                    </pic:cNvPicPr>
                  </pic:nvPicPr>
                  <pic:blipFill>
                    <a:blip r:embed="rId8"/>
                    <a:stretch>
                      <a:fillRect/>
                    </a:stretch>
                  </pic:blipFill>
                  <pic:spPr bwMode="auto">
                    <a:xfrm>
                      <a:off x="0" y="0"/>
                      <a:ext cx="952500" cy="952500"/>
                    </a:xfrm>
                    <a:prstGeom prst="rect">
                      <a:avLst/>
                    </a:prstGeom>
                    <a:noFill/>
                    <a:ln>
                      <a:noFill/>
                    </a:ln>
                  </pic:spPr>
                </pic:pic>
              </a:graphicData>
            </a:graphic>
          </wp:inline>
        </w:drawing>
      </w:r>
    </w:p>
    <w:p w14:paraId="2496864A" w14:textId="1DED0F50" w:rsidR="00D10648" w:rsidRPr="000141F6" w:rsidRDefault="00D10648" w:rsidP="00D10648">
      <w:pPr>
        <w:jc w:val="center"/>
        <w:rPr>
          <w:sz w:val="36"/>
          <w:szCs w:val="36"/>
        </w:rPr>
      </w:pPr>
      <w:r w:rsidRPr="000141F6">
        <w:rPr>
          <w:sz w:val="36"/>
          <w:szCs w:val="36"/>
        </w:rPr>
        <w:t>M</w:t>
      </w:r>
      <w:r w:rsidR="000141F6">
        <w:rPr>
          <w:sz w:val="36"/>
          <w:szCs w:val="36"/>
        </w:rPr>
        <w:t xml:space="preserve"> </w:t>
      </w:r>
      <w:r w:rsidRPr="000141F6">
        <w:rPr>
          <w:sz w:val="36"/>
          <w:szCs w:val="36"/>
        </w:rPr>
        <w:t>E</w:t>
      </w:r>
      <w:r w:rsidR="000141F6">
        <w:rPr>
          <w:sz w:val="36"/>
          <w:szCs w:val="36"/>
        </w:rPr>
        <w:t xml:space="preserve"> </w:t>
      </w:r>
      <w:r w:rsidRPr="000141F6">
        <w:rPr>
          <w:sz w:val="36"/>
          <w:szCs w:val="36"/>
        </w:rPr>
        <w:t>M</w:t>
      </w:r>
      <w:r w:rsidR="000141F6">
        <w:rPr>
          <w:sz w:val="36"/>
          <w:szCs w:val="36"/>
        </w:rPr>
        <w:t xml:space="preserve"> </w:t>
      </w:r>
      <w:r w:rsidRPr="000141F6">
        <w:rPr>
          <w:sz w:val="36"/>
          <w:szCs w:val="36"/>
        </w:rPr>
        <w:t>O</w:t>
      </w:r>
      <w:r w:rsidR="000141F6">
        <w:rPr>
          <w:sz w:val="36"/>
          <w:szCs w:val="36"/>
        </w:rPr>
        <w:t xml:space="preserve"> </w:t>
      </w:r>
      <w:r w:rsidRPr="000141F6">
        <w:rPr>
          <w:sz w:val="36"/>
          <w:szCs w:val="36"/>
        </w:rPr>
        <w:t>R</w:t>
      </w:r>
      <w:r w:rsidR="000141F6">
        <w:rPr>
          <w:sz w:val="36"/>
          <w:szCs w:val="36"/>
        </w:rPr>
        <w:t xml:space="preserve"> </w:t>
      </w:r>
      <w:r w:rsidRPr="000141F6">
        <w:rPr>
          <w:sz w:val="36"/>
          <w:szCs w:val="36"/>
        </w:rPr>
        <w:t>A</w:t>
      </w:r>
      <w:r w:rsidR="000141F6">
        <w:rPr>
          <w:sz w:val="36"/>
          <w:szCs w:val="36"/>
        </w:rPr>
        <w:t xml:space="preserve"> </w:t>
      </w:r>
      <w:r w:rsidRPr="000141F6">
        <w:rPr>
          <w:sz w:val="36"/>
          <w:szCs w:val="36"/>
        </w:rPr>
        <w:t>N</w:t>
      </w:r>
      <w:r w:rsidR="000141F6">
        <w:rPr>
          <w:sz w:val="36"/>
          <w:szCs w:val="36"/>
        </w:rPr>
        <w:t xml:space="preserve"> </w:t>
      </w:r>
      <w:r w:rsidRPr="000141F6">
        <w:rPr>
          <w:sz w:val="36"/>
          <w:szCs w:val="36"/>
        </w:rPr>
        <w:t>D</w:t>
      </w:r>
      <w:r w:rsidR="000141F6">
        <w:rPr>
          <w:sz w:val="36"/>
          <w:szCs w:val="36"/>
        </w:rPr>
        <w:t xml:space="preserve"> </w:t>
      </w:r>
      <w:r w:rsidRPr="000141F6">
        <w:rPr>
          <w:sz w:val="36"/>
          <w:szCs w:val="36"/>
        </w:rPr>
        <w:t>U</w:t>
      </w:r>
      <w:r w:rsidR="000141F6">
        <w:rPr>
          <w:sz w:val="36"/>
          <w:szCs w:val="36"/>
        </w:rPr>
        <w:t xml:space="preserve"> </w:t>
      </w:r>
      <w:r w:rsidRPr="000141F6">
        <w:rPr>
          <w:sz w:val="36"/>
          <w:szCs w:val="36"/>
        </w:rPr>
        <w:t>M</w:t>
      </w:r>
    </w:p>
    <w:p w14:paraId="6071C9BC" w14:textId="22E28301" w:rsidR="002B1FDC" w:rsidRPr="000141F6" w:rsidRDefault="00D10648" w:rsidP="00232D2B">
      <w:pPr>
        <w:ind w:left="1440" w:hanging="1440"/>
      </w:pPr>
      <w:r w:rsidRPr="000141F6">
        <w:rPr>
          <w:b/>
          <w:bCs/>
        </w:rPr>
        <w:t>TO:</w:t>
      </w:r>
      <w:r w:rsidRPr="000141F6">
        <w:t xml:space="preserve"> </w:t>
      </w:r>
      <w:r w:rsidR="000141F6">
        <w:tab/>
      </w:r>
      <w:r w:rsidRPr="000141F6">
        <w:t>Interested Laguna Beach Residents, project applicants, designers / architects, and others</w:t>
      </w:r>
    </w:p>
    <w:p w14:paraId="6095C272" w14:textId="1D0C8B6E" w:rsidR="00D10648" w:rsidRPr="000141F6" w:rsidRDefault="00D10648" w:rsidP="00232D2B">
      <w:pPr>
        <w:ind w:left="1440" w:hanging="1440"/>
      </w:pPr>
      <w:r w:rsidRPr="000141F6">
        <w:rPr>
          <w:b/>
          <w:bCs/>
        </w:rPr>
        <w:t>FROM:</w:t>
      </w:r>
      <w:r w:rsidRPr="000141F6">
        <w:t xml:space="preserve">  </w:t>
      </w:r>
      <w:r w:rsidR="000141F6">
        <w:tab/>
      </w:r>
      <w:r w:rsidR="009C3061">
        <w:t xml:space="preserve">City of </w:t>
      </w:r>
      <w:r w:rsidR="000141F6" w:rsidRPr="000141F6">
        <w:t>Laguna Beach Community Development</w:t>
      </w:r>
      <w:r w:rsidR="004426BB">
        <w:t xml:space="preserve"> team</w:t>
      </w:r>
      <w:r w:rsidR="000141F6" w:rsidRPr="000141F6">
        <w:t>, including the City Manager and City Attorney’s Office</w:t>
      </w:r>
    </w:p>
    <w:p w14:paraId="41102329" w14:textId="53CFF215" w:rsidR="004D7062" w:rsidRPr="000141F6" w:rsidRDefault="000141F6" w:rsidP="00232D2B">
      <w:pPr>
        <w:ind w:left="1440" w:hanging="1440"/>
      </w:pPr>
      <w:r w:rsidRPr="000141F6">
        <w:rPr>
          <w:b/>
          <w:bCs/>
        </w:rPr>
        <w:t>RE:</w:t>
      </w:r>
      <w:r w:rsidRPr="000141F6">
        <w:t xml:space="preserve">  </w:t>
      </w:r>
      <w:r>
        <w:tab/>
      </w:r>
      <w:r w:rsidR="004D7062" w:rsidRPr="000141F6">
        <w:t>Proposed Changes to Design Review and related parts of the Laguna Beach Municipal Code</w:t>
      </w:r>
      <w:r w:rsidR="00895BA0" w:rsidRPr="000141F6">
        <w:t xml:space="preserve"> (</w:t>
      </w:r>
      <w:r w:rsidR="00E05CB2" w:rsidRPr="000141F6">
        <w:t>“</w:t>
      </w:r>
      <w:r w:rsidR="00895BA0" w:rsidRPr="000141F6">
        <w:t>LBMC</w:t>
      </w:r>
      <w:r w:rsidR="00E05CB2" w:rsidRPr="000141F6">
        <w:t>”</w:t>
      </w:r>
      <w:r w:rsidR="00895BA0" w:rsidRPr="000141F6">
        <w:t>)</w:t>
      </w:r>
    </w:p>
    <w:p w14:paraId="1740F453" w14:textId="494A31D4" w:rsidR="000141F6" w:rsidRDefault="000141F6" w:rsidP="000141F6">
      <w:pPr>
        <w:ind w:left="900" w:hanging="900"/>
      </w:pPr>
      <w:r w:rsidRPr="000141F6">
        <w:rPr>
          <w:b/>
          <w:bCs/>
        </w:rPr>
        <w:t>DATE:</w:t>
      </w:r>
      <w:r w:rsidRPr="000141F6">
        <w:t xml:space="preserve">  </w:t>
      </w:r>
      <w:r w:rsidR="004426BB">
        <w:tab/>
      </w:r>
      <w:r w:rsidR="00232D2B">
        <w:tab/>
      </w:r>
      <w:r w:rsidRPr="000141F6">
        <w:t xml:space="preserve">October </w:t>
      </w:r>
      <w:r w:rsidR="007F542F">
        <w:t>17</w:t>
      </w:r>
      <w:r w:rsidR="007F542F" w:rsidRPr="000141F6">
        <w:t xml:space="preserve">, </w:t>
      </w:r>
      <w:r w:rsidRPr="000141F6">
        <w:t>2024</w:t>
      </w:r>
    </w:p>
    <w:p w14:paraId="1574D85D" w14:textId="77777777" w:rsidR="000141F6" w:rsidRDefault="000141F6" w:rsidP="000141F6">
      <w:pPr>
        <w:pBdr>
          <w:bottom w:val="single" w:sz="12" w:space="1" w:color="auto"/>
        </w:pBdr>
        <w:ind w:left="720" w:hanging="720"/>
      </w:pPr>
    </w:p>
    <w:p w14:paraId="2BFE74D1" w14:textId="77777777" w:rsidR="000141F6" w:rsidRPr="000141F6" w:rsidRDefault="000141F6" w:rsidP="000141F6">
      <w:pPr>
        <w:ind w:left="720" w:hanging="720"/>
      </w:pPr>
    </w:p>
    <w:p w14:paraId="730B3FA6" w14:textId="5079883B" w:rsidR="004D7062" w:rsidRDefault="004D7062" w:rsidP="000E3423">
      <w:r w:rsidRPr="003477DE">
        <w:rPr>
          <w:b/>
          <w:bCs/>
        </w:rPr>
        <w:t>SUMMARY:</w:t>
      </w:r>
      <w:r w:rsidR="00235269">
        <w:t xml:space="preserve">  </w:t>
      </w:r>
      <w:r>
        <w:t xml:space="preserve">In an attempt to </w:t>
      </w:r>
      <w:r w:rsidR="00567F52">
        <w:t xml:space="preserve">both </w:t>
      </w:r>
      <w:r w:rsidR="00841CE7">
        <w:t xml:space="preserve">meet the goals of the City’s </w:t>
      </w:r>
      <w:r w:rsidR="00841CE7" w:rsidRPr="00841CE7">
        <w:rPr>
          <w:b/>
          <w:bCs/>
        </w:rPr>
        <w:t>Housing Element</w:t>
      </w:r>
      <w:r w:rsidR="00841CE7">
        <w:t xml:space="preserve"> (2021-2029, see Attachment A) and to </w:t>
      </w:r>
      <w:r>
        <w:t xml:space="preserve">address </w:t>
      </w:r>
      <w:r w:rsidR="009E1734">
        <w:t xml:space="preserve">larger </w:t>
      </w:r>
      <w:r>
        <w:t xml:space="preserve">concerns about </w:t>
      </w:r>
      <w:r w:rsidRPr="00841CE7">
        <w:rPr>
          <w:b/>
          <w:bCs/>
        </w:rPr>
        <w:t>delays and the slow pacing of project approvals,</w:t>
      </w:r>
      <w:r>
        <w:t xml:space="preserve"> City staff has identified changes to specific parts of the LBMC that relate to Community Development (generally but not exclusively to the Design Review or “DR” </w:t>
      </w:r>
      <w:r w:rsidR="0092279A">
        <w:t>pathways</w:t>
      </w:r>
      <w:r>
        <w:t xml:space="preserve">).  </w:t>
      </w:r>
      <w:r w:rsidR="00886604">
        <w:t>The proposed changes have been crafted with the primary goal of expediting reviews and processing while maintaining the spirit of Laguna Beach’s DR tradition – in part by reducing the bureaucracy and other items that can lead to mistakes.</w:t>
      </w:r>
    </w:p>
    <w:p w14:paraId="4FC04F64" w14:textId="705D1FC2" w:rsidR="00235269" w:rsidRPr="003477DE" w:rsidRDefault="00235269">
      <w:pPr>
        <w:rPr>
          <w:b/>
          <w:bCs/>
        </w:rPr>
      </w:pPr>
      <w:r w:rsidRPr="003477DE">
        <w:rPr>
          <w:b/>
          <w:bCs/>
        </w:rPr>
        <w:t>KEY DEFINITIONS / CONCEPTS:</w:t>
      </w:r>
    </w:p>
    <w:p w14:paraId="52BDF2E7" w14:textId="03E99EA5" w:rsidR="004D7062" w:rsidRDefault="004D7062" w:rsidP="00235269">
      <w:pPr>
        <w:pStyle w:val="ListParagraph"/>
        <w:numPr>
          <w:ilvl w:val="0"/>
          <w:numId w:val="3"/>
        </w:numPr>
      </w:pPr>
      <w:r w:rsidRPr="00235269">
        <w:rPr>
          <w:b/>
          <w:bCs/>
        </w:rPr>
        <w:t>“Exempt from DR”</w:t>
      </w:r>
      <w:r>
        <w:t xml:space="preserve"> mean</w:t>
      </w:r>
      <w:r w:rsidR="000E3423">
        <w:t>s</w:t>
      </w:r>
      <w:r w:rsidR="000A4374">
        <w:t xml:space="preserve"> a</w:t>
      </w:r>
      <w:r>
        <w:t xml:space="preserve"> project</w:t>
      </w:r>
      <w:r w:rsidR="000A4374">
        <w:t xml:space="preserve"> </w:t>
      </w:r>
      <w:r>
        <w:t>that do</w:t>
      </w:r>
      <w:r w:rsidR="000A4374">
        <w:t>es</w:t>
      </w:r>
      <w:r>
        <w:t xml:space="preserve"> not require any level of design review, such as an interior remodel of an existing building.</w:t>
      </w:r>
      <w:r w:rsidR="00235269">
        <w:t xml:space="preserve">  Th</w:t>
      </w:r>
      <w:r w:rsidR="00D26005">
        <w:t>is type of project</w:t>
      </w:r>
      <w:r w:rsidR="00235269">
        <w:t xml:space="preserve"> </w:t>
      </w:r>
      <w:r w:rsidR="000A4374">
        <w:t xml:space="preserve">typically </w:t>
      </w:r>
      <w:r w:rsidR="00235269">
        <w:t>requires a building permit only.</w:t>
      </w:r>
    </w:p>
    <w:p w14:paraId="586400B8" w14:textId="7824E403" w:rsidR="002F1126" w:rsidRDefault="004D7062" w:rsidP="00235269">
      <w:pPr>
        <w:pStyle w:val="ListParagraph"/>
        <w:numPr>
          <w:ilvl w:val="0"/>
          <w:numId w:val="3"/>
        </w:numPr>
      </w:pPr>
      <w:r w:rsidRPr="00235269">
        <w:rPr>
          <w:b/>
          <w:bCs/>
        </w:rPr>
        <w:t>“Admin DR”</w:t>
      </w:r>
      <w:r>
        <w:t xml:space="preserve"> </w:t>
      </w:r>
      <w:r w:rsidR="002F1126">
        <w:t xml:space="preserve">means </w:t>
      </w:r>
      <w:r>
        <w:t xml:space="preserve">DR </w:t>
      </w:r>
      <w:r w:rsidR="002F1126">
        <w:t xml:space="preserve">that is </w:t>
      </w:r>
      <w:r>
        <w:t xml:space="preserve">handled </w:t>
      </w:r>
      <w:r w:rsidR="002F1126">
        <w:t xml:space="preserve">via a review of the project and the code </w:t>
      </w:r>
      <w:r w:rsidR="00D26005">
        <w:t xml:space="preserve">administratively (i.e. </w:t>
      </w:r>
      <w:r w:rsidR="002F1126">
        <w:t xml:space="preserve">by </w:t>
      </w:r>
      <w:r w:rsidR="00235269">
        <w:t xml:space="preserve">designated </w:t>
      </w:r>
      <w:r w:rsidR="002F1126">
        <w:t>city staff</w:t>
      </w:r>
      <w:r w:rsidR="00D26005">
        <w:t>)</w:t>
      </w:r>
      <w:r w:rsidR="00235269">
        <w:t xml:space="preserve">.  In other words, without </w:t>
      </w:r>
      <w:r>
        <w:t xml:space="preserve">a hearing of the </w:t>
      </w:r>
      <w:r w:rsidRPr="009400FF">
        <w:rPr>
          <w:b/>
          <w:bCs/>
        </w:rPr>
        <w:t>Design Review Board</w:t>
      </w:r>
      <w:r>
        <w:t xml:space="preserve"> </w:t>
      </w:r>
      <w:r w:rsidR="002F1126">
        <w:t xml:space="preserve">(“DRB”) </w:t>
      </w:r>
      <w:r>
        <w:t xml:space="preserve">or </w:t>
      </w:r>
      <w:r w:rsidRPr="009400FF">
        <w:rPr>
          <w:b/>
          <w:bCs/>
        </w:rPr>
        <w:t>Planning Commission</w:t>
      </w:r>
      <w:r w:rsidR="002F1126">
        <w:t xml:space="preserve"> (“PC”</w:t>
      </w:r>
      <w:r w:rsidR="003477DE">
        <w:t>)</w:t>
      </w:r>
      <w:r w:rsidR="002F1126">
        <w:t>.  Admin DR may include a public hearing where members of the public are invited to attend and speak</w:t>
      </w:r>
      <w:r w:rsidR="00235269">
        <w:t xml:space="preserve"> with the applicant and the </w:t>
      </w:r>
      <w:r w:rsidR="002F1126">
        <w:t>person holding the hearing</w:t>
      </w:r>
      <w:r w:rsidR="00E51DFD">
        <w:t xml:space="preserve">.  The person holding the hearing would be </w:t>
      </w:r>
      <w:r w:rsidR="002F1126">
        <w:t>a Community Development staff member, such as the department director or</w:t>
      </w:r>
      <w:r w:rsidR="00E51DFD">
        <w:t xml:space="preserve"> their </w:t>
      </w:r>
      <w:r w:rsidR="002F1126">
        <w:t>designee.</w:t>
      </w:r>
    </w:p>
    <w:p w14:paraId="550C95C9" w14:textId="4AA66BB4" w:rsidR="00F16C15" w:rsidRPr="00E01003" w:rsidRDefault="00F16C15" w:rsidP="00235269">
      <w:pPr>
        <w:pStyle w:val="ListParagraph"/>
        <w:numPr>
          <w:ilvl w:val="0"/>
          <w:numId w:val="3"/>
        </w:numPr>
      </w:pPr>
      <w:r>
        <w:rPr>
          <w:b/>
          <w:bCs/>
        </w:rPr>
        <w:t xml:space="preserve">“Historic Register” </w:t>
      </w:r>
      <w:r w:rsidRPr="00E01003">
        <w:t xml:space="preserve">means </w:t>
      </w:r>
      <w:r w:rsidR="00134122" w:rsidRPr="00E01003">
        <w:t xml:space="preserve">our </w:t>
      </w:r>
      <w:r w:rsidR="00134122" w:rsidRPr="0073281A">
        <w:rPr>
          <w:b/>
          <w:bCs/>
        </w:rPr>
        <w:t>formal</w:t>
      </w:r>
      <w:r w:rsidRPr="0073281A">
        <w:rPr>
          <w:b/>
          <w:bCs/>
        </w:rPr>
        <w:t xml:space="preserve"> listing</w:t>
      </w:r>
      <w:r w:rsidRPr="00E01003">
        <w:t xml:space="preserve"> of historic resources – public and private – where property owners agreed to have their property listed on a formal register in </w:t>
      </w:r>
      <w:r w:rsidR="00A70859" w:rsidRPr="00E01003">
        <w:t xml:space="preserve">exchange for </w:t>
      </w:r>
      <w:r w:rsidR="00664FE2" w:rsidRPr="00E01003">
        <w:t xml:space="preserve">certain benefits, such as property tax reductions under the Mills Act.  </w:t>
      </w:r>
    </w:p>
    <w:p w14:paraId="7D1BC69F" w14:textId="048D225A" w:rsidR="00070A61" w:rsidRDefault="00070A61" w:rsidP="00070A61">
      <w:pPr>
        <w:pStyle w:val="ListParagraph"/>
        <w:numPr>
          <w:ilvl w:val="0"/>
          <w:numId w:val="3"/>
        </w:numPr>
        <w:spacing w:line="276" w:lineRule="auto"/>
        <w:jc w:val="both"/>
      </w:pPr>
      <w:r>
        <w:rPr>
          <w:b/>
          <w:bCs/>
        </w:rPr>
        <w:t>“Non-Register</w:t>
      </w:r>
      <w:r w:rsidR="002E7965">
        <w:rPr>
          <w:b/>
          <w:bCs/>
        </w:rPr>
        <w:t xml:space="preserve"> </w:t>
      </w:r>
      <w:r>
        <w:rPr>
          <w:b/>
          <w:bCs/>
        </w:rPr>
        <w:t>Properties”</w:t>
      </w:r>
      <w:r>
        <w:t xml:space="preserve"> refers to properties not listed on a Historic Register, including properties previously listed on an Historic Resources Inventory prepared in the 1980s that is </w:t>
      </w:r>
      <w:r>
        <w:rPr>
          <w:u w:val="single"/>
        </w:rPr>
        <w:t>no longer referred to or recognized in the LBMC</w:t>
      </w:r>
      <w:r>
        <w:t xml:space="preserve">. In some cases, City staff may have to do some level of review under the California Environmental Quality Act (CEQA) to evaluate the historicity of Non-Register Properties. This is because state law (CEQA) requires analysis of impacts to qualifying historic resources, and any proposed development that is subject to discretionary review, such as through DR or Admin DR, requires that the project be reviewed for compliance with CEQA. </w:t>
      </w:r>
    </w:p>
    <w:p w14:paraId="3356F2C6" w14:textId="7E6F7D90" w:rsidR="00664FE2" w:rsidRPr="00E01003" w:rsidRDefault="00664FE2" w:rsidP="00B42460">
      <w:pPr>
        <w:pStyle w:val="ListParagraph"/>
        <w:ind w:left="360"/>
      </w:pPr>
      <w:r w:rsidRPr="00E01003">
        <w:t xml:space="preserve"> </w:t>
      </w:r>
    </w:p>
    <w:p w14:paraId="2BB1557E" w14:textId="5016D061" w:rsidR="004D7062" w:rsidRDefault="00235269">
      <w:r w:rsidRPr="003477DE">
        <w:rPr>
          <w:b/>
          <w:bCs/>
        </w:rPr>
        <w:t>PROPOSALS:</w:t>
      </w:r>
      <w:r>
        <w:t xml:space="preserve">  </w:t>
      </w:r>
      <w:r w:rsidR="004D7062">
        <w:t>Our proposals address these</w:t>
      </w:r>
      <w:r w:rsidR="009A4400">
        <w:t xml:space="preserve"> four (4)</w:t>
      </w:r>
      <w:r>
        <w:t xml:space="preserve"> </w:t>
      </w:r>
      <w:r w:rsidR="004D7062">
        <w:t>areas:</w:t>
      </w:r>
    </w:p>
    <w:p w14:paraId="4F919053" w14:textId="391FD6DD" w:rsidR="002F1126" w:rsidRDefault="002D1FB7" w:rsidP="002F1126">
      <w:pPr>
        <w:pStyle w:val="ListParagraph"/>
        <w:numPr>
          <w:ilvl w:val="0"/>
          <w:numId w:val="2"/>
        </w:numPr>
      </w:pPr>
      <w:r>
        <w:rPr>
          <w:b/>
          <w:bCs/>
        </w:rPr>
        <w:t>Triggers for</w:t>
      </w:r>
      <w:r w:rsidR="002F1126" w:rsidRPr="002F1126">
        <w:rPr>
          <w:b/>
          <w:bCs/>
        </w:rPr>
        <w:t xml:space="preserve"> </w:t>
      </w:r>
      <w:r w:rsidR="004D7062" w:rsidRPr="002F1126">
        <w:rPr>
          <w:b/>
          <w:bCs/>
        </w:rPr>
        <w:t>Design Review.</w:t>
      </w:r>
      <w:r w:rsidR="004D7062">
        <w:t xml:space="preserve">  In other words, the types of projects that must go through some level of design review process.</w:t>
      </w:r>
      <w:r w:rsidR="002F1126">
        <w:t xml:space="preserve">  We’re proposing these </w:t>
      </w:r>
      <w:r w:rsidR="00235269">
        <w:t>categories or “bucket</w:t>
      </w:r>
      <w:r w:rsidR="002F1126">
        <w:t>s</w:t>
      </w:r>
      <w:r w:rsidR="00235269">
        <w:t>”</w:t>
      </w:r>
      <w:r w:rsidR="002F1126">
        <w:t xml:space="preserve"> of changes:</w:t>
      </w:r>
    </w:p>
    <w:p w14:paraId="092A69BE" w14:textId="46C0EEBE" w:rsidR="00DC76BC" w:rsidRDefault="003477DE" w:rsidP="00DC76BC">
      <w:pPr>
        <w:pStyle w:val="ListParagraph"/>
        <w:numPr>
          <w:ilvl w:val="1"/>
          <w:numId w:val="2"/>
        </w:numPr>
      </w:pPr>
      <w:r>
        <w:t xml:space="preserve">A larger change </w:t>
      </w:r>
      <w:r w:rsidRPr="002F1126">
        <w:rPr>
          <w:b/>
          <w:bCs/>
        </w:rPr>
        <w:t>in approach</w:t>
      </w:r>
      <w:r>
        <w:t xml:space="preserve"> that reduces the breadth of DR.  Our changes would state that DR is required for projects clearly identified by the </w:t>
      </w:r>
      <w:r w:rsidR="002D1FB7">
        <w:t>LBMC</w:t>
      </w:r>
      <w:r>
        <w:t xml:space="preserve"> as needing DR, versus requiring DR for all projects unless otherwise called out as </w:t>
      </w:r>
      <w:r w:rsidR="002D1FB7">
        <w:t>“</w:t>
      </w:r>
      <w:r>
        <w:t>Exempt from DR</w:t>
      </w:r>
      <w:r w:rsidR="002D1FB7">
        <w:t>”</w:t>
      </w:r>
      <w:r w:rsidR="00C22C09">
        <w:t xml:space="preserve"> or subject to “Admin DR.”</w:t>
      </w:r>
      <w:r>
        <w:t xml:space="preserve"> </w:t>
      </w:r>
      <w:r w:rsidR="0070466B">
        <w:t xml:space="preserve"> The below illustrates the change</w:t>
      </w:r>
      <w:r w:rsidR="00666D18">
        <w:t xml:space="preserve"> (Current and Proposed):</w:t>
      </w:r>
    </w:p>
    <w:p w14:paraId="2DFF815C" w14:textId="1372CC6F" w:rsidR="006B1C39" w:rsidRPr="009A7EBA" w:rsidRDefault="007F542F" w:rsidP="006B1C39">
      <w:pPr>
        <w:rPr>
          <w:sz w:val="16"/>
          <w:szCs w:val="16"/>
        </w:rPr>
      </w:pPr>
      <w:r w:rsidRPr="007F542F">
        <w:rPr>
          <w:noProof/>
        </w:rPr>
        <w:drawing>
          <wp:anchor distT="0" distB="0" distL="114300" distR="114300" simplePos="0" relativeHeight="251660800" behindDoc="1" locked="0" layoutInCell="1" allowOverlap="1" wp14:anchorId="60B3597F" wp14:editId="03D556A1">
            <wp:simplePos x="0" y="0"/>
            <wp:positionH relativeFrom="column">
              <wp:posOffset>3543300</wp:posOffset>
            </wp:positionH>
            <wp:positionV relativeFrom="paragraph">
              <wp:posOffset>12065</wp:posOffset>
            </wp:positionV>
            <wp:extent cx="2495550" cy="1678305"/>
            <wp:effectExtent l="0" t="0" r="0" b="0"/>
            <wp:wrapTight wrapText="bothSides">
              <wp:wrapPolygon edited="0">
                <wp:start x="0" y="0"/>
                <wp:lineTo x="0" y="21330"/>
                <wp:lineTo x="21435" y="21330"/>
                <wp:lineTo x="21435" y="0"/>
                <wp:lineTo x="0" y="0"/>
              </wp:wrapPolygon>
            </wp:wrapTight>
            <wp:docPr id="1268176358"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76358" name="Picture 1" descr="Tabl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495550" cy="1678305"/>
                    </a:xfrm>
                    <a:prstGeom prst="rect">
                      <a:avLst/>
                    </a:prstGeom>
                  </pic:spPr>
                </pic:pic>
              </a:graphicData>
            </a:graphic>
            <wp14:sizeRelH relativeFrom="page">
              <wp14:pctWidth>0</wp14:pctWidth>
            </wp14:sizeRelH>
            <wp14:sizeRelV relativeFrom="page">
              <wp14:pctHeight>0</wp14:pctHeight>
            </wp14:sizeRelV>
          </wp:anchor>
        </w:drawing>
      </w:r>
      <w:r w:rsidR="00DC76BC" w:rsidRPr="009A7EBA">
        <w:rPr>
          <w:noProof/>
          <w:sz w:val="16"/>
          <w:szCs w:val="16"/>
        </w:rPr>
        <w:drawing>
          <wp:anchor distT="0" distB="0" distL="114300" distR="114300" simplePos="0" relativeHeight="251655680" behindDoc="1" locked="0" layoutInCell="1" allowOverlap="1" wp14:anchorId="207FEC7D" wp14:editId="279A6B26">
            <wp:simplePos x="0" y="0"/>
            <wp:positionH relativeFrom="column">
              <wp:posOffset>800100</wp:posOffset>
            </wp:positionH>
            <wp:positionV relativeFrom="paragraph">
              <wp:posOffset>6350</wp:posOffset>
            </wp:positionV>
            <wp:extent cx="2371725" cy="1670685"/>
            <wp:effectExtent l="0" t="0" r="9525" b="5715"/>
            <wp:wrapTight wrapText="bothSides">
              <wp:wrapPolygon edited="0">
                <wp:start x="0" y="0"/>
                <wp:lineTo x="0" y="21428"/>
                <wp:lineTo x="21513" y="21428"/>
                <wp:lineTo x="21513" y="0"/>
                <wp:lineTo x="0" y="0"/>
              </wp:wrapPolygon>
            </wp:wrapTight>
            <wp:docPr id="233430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30477" name="Picture 1" descr="Tabl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371725" cy="1670685"/>
                    </a:xfrm>
                    <a:prstGeom prst="rect">
                      <a:avLst/>
                    </a:prstGeom>
                  </pic:spPr>
                </pic:pic>
              </a:graphicData>
            </a:graphic>
            <wp14:sizeRelH relativeFrom="page">
              <wp14:pctWidth>0</wp14:pctWidth>
            </wp14:sizeRelH>
            <wp14:sizeRelV relativeFrom="page">
              <wp14:pctHeight>0</wp14:pctHeight>
            </wp14:sizeRelV>
          </wp:anchor>
        </w:drawing>
      </w:r>
    </w:p>
    <w:p w14:paraId="02168491" w14:textId="7DD94681" w:rsidR="006B1C39" w:rsidRDefault="006B1C39" w:rsidP="006B1C39"/>
    <w:p w14:paraId="08DE38E6" w14:textId="19790157" w:rsidR="00DC76BC" w:rsidRDefault="00DC76BC" w:rsidP="00DC76BC">
      <w:pPr>
        <w:pStyle w:val="ListParagraph"/>
        <w:ind w:left="1080"/>
      </w:pPr>
    </w:p>
    <w:p w14:paraId="3BEDC868" w14:textId="797EAE57" w:rsidR="006779D0" w:rsidRDefault="006779D0" w:rsidP="006779D0">
      <w:pPr>
        <w:pStyle w:val="ListParagraph"/>
        <w:ind w:left="1080"/>
      </w:pPr>
    </w:p>
    <w:p w14:paraId="7FF978AC" w14:textId="3F4C7C7A" w:rsidR="006779D0" w:rsidRDefault="006779D0" w:rsidP="006779D0">
      <w:pPr>
        <w:pStyle w:val="ListParagraph"/>
        <w:ind w:left="1080"/>
      </w:pPr>
    </w:p>
    <w:p w14:paraId="6777B5F2" w14:textId="167D634B" w:rsidR="006779D0" w:rsidRDefault="006779D0" w:rsidP="006779D0">
      <w:pPr>
        <w:pStyle w:val="ListParagraph"/>
        <w:ind w:left="1080"/>
      </w:pPr>
    </w:p>
    <w:p w14:paraId="70B0AF7A" w14:textId="161AEB10" w:rsidR="006779D0" w:rsidRDefault="006779D0" w:rsidP="006779D0">
      <w:pPr>
        <w:pStyle w:val="ListParagraph"/>
        <w:ind w:left="1080"/>
      </w:pPr>
    </w:p>
    <w:p w14:paraId="31B67D81" w14:textId="3E995E5C" w:rsidR="002F1126" w:rsidRPr="001E339E" w:rsidRDefault="003477DE" w:rsidP="00DC76BC">
      <w:pPr>
        <w:pStyle w:val="ListParagraph"/>
        <w:numPr>
          <w:ilvl w:val="1"/>
          <w:numId w:val="2"/>
        </w:numPr>
      </w:pPr>
      <w:r>
        <w:t>A</w:t>
      </w:r>
      <w:r w:rsidR="002F1126">
        <w:t xml:space="preserve">dding to the types of projects that are </w:t>
      </w:r>
      <w:r w:rsidR="002F1126" w:rsidRPr="00DC76BC">
        <w:rPr>
          <w:b/>
          <w:bCs/>
        </w:rPr>
        <w:t>Exempt from DR.</w:t>
      </w:r>
      <w:r w:rsidR="001E1DAC" w:rsidRPr="00DC76BC">
        <w:rPr>
          <w:b/>
          <w:bCs/>
        </w:rPr>
        <w:t xml:space="preserve">  </w:t>
      </w:r>
      <w:r w:rsidR="001E1DAC" w:rsidRPr="00007602">
        <w:t>These include, but are not limited to</w:t>
      </w:r>
      <w:r w:rsidR="00A07622">
        <w:t xml:space="preserve"> (generally)</w:t>
      </w:r>
      <w:r w:rsidR="001E339E" w:rsidRPr="00007602">
        <w:t>:</w:t>
      </w:r>
    </w:p>
    <w:p w14:paraId="02873F34" w14:textId="7E753F21" w:rsidR="001E339E" w:rsidRDefault="00313A63" w:rsidP="001E339E">
      <w:pPr>
        <w:pStyle w:val="ListParagraph"/>
        <w:numPr>
          <w:ilvl w:val="2"/>
          <w:numId w:val="2"/>
        </w:numPr>
      </w:pPr>
      <w:r>
        <w:t>Changes that do not constitute a major remodel, as defined.</w:t>
      </w:r>
    </w:p>
    <w:p w14:paraId="752D8983" w14:textId="3B4234F6" w:rsidR="00313A63" w:rsidRDefault="00313A63" w:rsidP="001E339E">
      <w:pPr>
        <w:pStyle w:val="ListParagraph"/>
        <w:numPr>
          <w:ilvl w:val="2"/>
          <w:numId w:val="2"/>
        </w:numPr>
      </w:pPr>
      <w:r>
        <w:t xml:space="preserve">Improvements less than 16’ above </w:t>
      </w:r>
      <w:r w:rsidR="00490111">
        <w:t>adjacent ground elevation.</w:t>
      </w:r>
    </w:p>
    <w:p w14:paraId="0E122FEF" w14:textId="53E0404F" w:rsidR="00490111" w:rsidRDefault="00E36CBA" w:rsidP="001E339E">
      <w:pPr>
        <w:pStyle w:val="ListParagraph"/>
        <w:numPr>
          <w:ilvl w:val="2"/>
          <w:numId w:val="2"/>
        </w:numPr>
      </w:pPr>
      <w:r>
        <w:t>Interior modifications to existing structures</w:t>
      </w:r>
      <w:r w:rsidR="00FD5D37">
        <w:t>.</w:t>
      </w:r>
    </w:p>
    <w:p w14:paraId="126509AC" w14:textId="06071C0E" w:rsidR="00FD5D37" w:rsidRDefault="00FD5D37" w:rsidP="00FD5D37">
      <w:pPr>
        <w:pStyle w:val="ListParagraph"/>
        <w:numPr>
          <w:ilvl w:val="2"/>
          <w:numId w:val="2"/>
        </w:numPr>
      </w:pPr>
      <w:r>
        <w:t xml:space="preserve">Exterior changes to </w:t>
      </w:r>
      <w:r w:rsidR="006779D0">
        <w:t>a front</w:t>
      </w:r>
      <w:r>
        <w:t xml:space="preserve"> façade that </w:t>
      </w:r>
      <w:r w:rsidRPr="00240CCC">
        <w:rPr>
          <w:i/>
          <w:iCs/>
        </w:rPr>
        <w:t>don’t</w:t>
      </w:r>
      <w:r>
        <w:t xml:space="preserve"> result in a style change.</w:t>
      </w:r>
    </w:p>
    <w:p w14:paraId="5DEFAF73" w14:textId="22E9E91D" w:rsidR="004E602D" w:rsidRDefault="004E602D" w:rsidP="001E339E">
      <w:pPr>
        <w:pStyle w:val="ListParagraph"/>
        <w:numPr>
          <w:ilvl w:val="2"/>
          <w:numId w:val="2"/>
        </w:numPr>
      </w:pPr>
      <w:r>
        <w:t>Re-roofing</w:t>
      </w:r>
      <w:r w:rsidR="00812EBE">
        <w:t xml:space="preserve"> projects that </w:t>
      </w:r>
      <w:r w:rsidR="00812EBE" w:rsidRPr="00240CCC">
        <w:rPr>
          <w:i/>
          <w:iCs/>
        </w:rPr>
        <w:t>don’t</w:t>
      </w:r>
      <w:r w:rsidR="00812EBE">
        <w:t xml:space="preserve"> change the slope, roof dimensions, square footage, or pitch and</w:t>
      </w:r>
      <w:r>
        <w:t xml:space="preserve"> that don’t create a reflective glare.</w:t>
      </w:r>
    </w:p>
    <w:p w14:paraId="66D3EB48" w14:textId="02A0D01C" w:rsidR="00360391" w:rsidRDefault="00360391" w:rsidP="001E339E">
      <w:pPr>
        <w:pStyle w:val="ListParagraph"/>
        <w:numPr>
          <w:ilvl w:val="2"/>
          <w:numId w:val="2"/>
        </w:numPr>
      </w:pPr>
      <w:r>
        <w:t>Certain hardscape and landscaping</w:t>
      </w:r>
      <w:r w:rsidR="00D76FE0">
        <w:t>.</w:t>
      </w:r>
    </w:p>
    <w:p w14:paraId="337CD749" w14:textId="31C45BD6" w:rsidR="00360391" w:rsidRDefault="00360391" w:rsidP="001E339E">
      <w:pPr>
        <w:pStyle w:val="ListParagraph"/>
        <w:numPr>
          <w:ilvl w:val="2"/>
          <w:numId w:val="2"/>
        </w:numPr>
      </w:pPr>
      <w:r>
        <w:t xml:space="preserve">Fences, walls, and hedges that are consistent with the </w:t>
      </w:r>
      <w:r w:rsidR="00D76FE0">
        <w:t>LMBC</w:t>
      </w:r>
      <w:r>
        <w:t>.</w:t>
      </w:r>
    </w:p>
    <w:p w14:paraId="558280E7" w14:textId="72C2E10B" w:rsidR="00360391" w:rsidRDefault="00360391" w:rsidP="001E339E">
      <w:pPr>
        <w:pStyle w:val="ListParagraph"/>
        <w:numPr>
          <w:ilvl w:val="2"/>
          <w:numId w:val="2"/>
        </w:numPr>
      </w:pPr>
      <w:r>
        <w:t>Decks, slabs, or patios elevated 3’ or less above the existing grade.</w:t>
      </w:r>
    </w:p>
    <w:p w14:paraId="51121B6C" w14:textId="5503E0CE" w:rsidR="00FA7863" w:rsidRDefault="00FA7863" w:rsidP="001E339E">
      <w:pPr>
        <w:pStyle w:val="ListParagraph"/>
        <w:numPr>
          <w:ilvl w:val="2"/>
          <w:numId w:val="2"/>
        </w:numPr>
      </w:pPr>
      <w:r>
        <w:t>Railings</w:t>
      </w:r>
      <w:r w:rsidR="00D76FE0">
        <w:t>.</w:t>
      </w:r>
    </w:p>
    <w:p w14:paraId="552DFD15" w14:textId="10D4244B" w:rsidR="00FA7863" w:rsidRDefault="00FA7863" w:rsidP="001E339E">
      <w:pPr>
        <w:pStyle w:val="ListParagraph"/>
        <w:numPr>
          <w:ilvl w:val="2"/>
          <w:numId w:val="2"/>
        </w:numPr>
      </w:pPr>
      <w:r>
        <w:t>Skylights with operable night shades</w:t>
      </w:r>
      <w:r w:rsidR="00D76FE0">
        <w:t>.</w:t>
      </w:r>
    </w:p>
    <w:p w14:paraId="03BC2C32" w14:textId="1E72ED66" w:rsidR="00FA7863" w:rsidRDefault="00FA7863" w:rsidP="001E339E">
      <w:pPr>
        <w:pStyle w:val="ListParagraph"/>
        <w:numPr>
          <w:ilvl w:val="2"/>
          <w:numId w:val="2"/>
        </w:numPr>
      </w:pPr>
      <w:r>
        <w:t xml:space="preserve">SB 9 </w:t>
      </w:r>
      <w:r w:rsidR="0078580C">
        <w:t>units, only as limited by the Code.</w:t>
      </w:r>
    </w:p>
    <w:p w14:paraId="30C06A61" w14:textId="639FF9D0" w:rsidR="0078580C" w:rsidRDefault="0078580C" w:rsidP="001E339E">
      <w:pPr>
        <w:pStyle w:val="ListParagraph"/>
        <w:numPr>
          <w:ilvl w:val="2"/>
          <w:numId w:val="2"/>
        </w:numPr>
      </w:pPr>
      <w:r>
        <w:t xml:space="preserve">Mechanical equipment that </w:t>
      </w:r>
      <w:r w:rsidR="008010CF">
        <w:t>meets noise and other requirements.</w:t>
      </w:r>
    </w:p>
    <w:p w14:paraId="1DD47B24" w14:textId="30D19D00" w:rsidR="008010CF" w:rsidRDefault="0012637C" w:rsidP="001E339E">
      <w:pPr>
        <w:pStyle w:val="ListParagraph"/>
        <w:numPr>
          <w:ilvl w:val="2"/>
          <w:numId w:val="2"/>
        </w:numPr>
      </w:pPr>
      <w:r>
        <w:t xml:space="preserve">De minimis </w:t>
      </w:r>
      <w:r w:rsidR="008010CF">
        <w:t>capital improvement projects</w:t>
      </w:r>
      <w:r w:rsidR="00C062C5">
        <w:t>.</w:t>
      </w:r>
      <w:r w:rsidR="008010CF">
        <w:t xml:space="preserve"> </w:t>
      </w:r>
    </w:p>
    <w:p w14:paraId="0434EC9A" w14:textId="3573C582" w:rsidR="00610781" w:rsidRPr="001E339E" w:rsidRDefault="00610781" w:rsidP="001E339E">
      <w:pPr>
        <w:pStyle w:val="ListParagraph"/>
        <w:numPr>
          <w:ilvl w:val="2"/>
          <w:numId w:val="2"/>
        </w:numPr>
      </w:pPr>
      <w:r>
        <w:t>Swimming pools, spas, and water features</w:t>
      </w:r>
      <w:r w:rsidR="00CD567C">
        <w:rPr>
          <w:rStyle w:val="FootnoteReference"/>
        </w:rPr>
        <w:footnoteReference w:id="1"/>
      </w:r>
      <w:r w:rsidR="0048102E">
        <w:t>.</w:t>
      </w:r>
      <w:r>
        <w:t xml:space="preserve"> </w:t>
      </w:r>
    </w:p>
    <w:p w14:paraId="32FCF6F8" w14:textId="77777777" w:rsidR="001E339E" w:rsidRDefault="001E339E" w:rsidP="001E339E">
      <w:pPr>
        <w:pStyle w:val="ListParagraph"/>
        <w:ind w:left="1080"/>
      </w:pPr>
    </w:p>
    <w:p w14:paraId="5076F07F" w14:textId="0BCFD0BE" w:rsidR="00203C91" w:rsidRPr="001E339E" w:rsidRDefault="002F1126" w:rsidP="00203C91">
      <w:pPr>
        <w:pStyle w:val="ListParagraph"/>
        <w:numPr>
          <w:ilvl w:val="1"/>
          <w:numId w:val="2"/>
        </w:numPr>
      </w:pPr>
      <w:r>
        <w:t>Changes that move certain projects from</w:t>
      </w:r>
      <w:r w:rsidRPr="003F4FB5">
        <w:rPr>
          <w:b/>
          <w:bCs/>
        </w:rPr>
        <w:t xml:space="preserve"> full</w:t>
      </w:r>
      <w:r>
        <w:t xml:space="preserve"> </w:t>
      </w:r>
      <w:r w:rsidRPr="00CE4AF4">
        <w:rPr>
          <w:b/>
          <w:bCs/>
        </w:rPr>
        <w:t xml:space="preserve">DRB </w:t>
      </w:r>
      <w:r w:rsidR="00CE4AF4" w:rsidRPr="00CE4AF4">
        <w:rPr>
          <w:b/>
          <w:bCs/>
        </w:rPr>
        <w:t>review</w:t>
      </w:r>
      <w:r>
        <w:t xml:space="preserve"> to </w:t>
      </w:r>
      <w:r w:rsidRPr="002F1126">
        <w:rPr>
          <w:b/>
          <w:bCs/>
        </w:rPr>
        <w:t>Admin DR</w:t>
      </w:r>
      <w:r>
        <w:t xml:space="preserve"> – i.e. adding to the types of projects that can have their DR addressed by City </w:t>
      </w:r>
      <w:r w:rsidR="00B07130">
        <w:t>Staff versus</w:t>
      </w:r>
      <w:r>
        <w:t xml:space="preserve"> the DRB</w:t>
      </w:r>
      <w:r w:rsidR="003477DE">
        <w:t xml:space="preserve">.  </w:t>
      </w:r>
      <w:r w:rsidR="00AE07C3">
        <w:t xml:space="preserve">During the application process, an administrative public hearing can be held if neighbors ask for the hearing after receiving appropriate notice.  </w:t>
      </w:r>
      <w:r w:rsidR="003477DE">
        <w:t xml:space="preserve">If neighbors are noticed and do not respond, </w:t>
      </w:r>
      <w:r w:rsidR="003A57C1" w:rsidRPr="007F542F">
        <w:rPr>
          <w:b/>
        </w:rPr>
        <w:t xml:space="preserve">the project is approved without </w:t>
      </w:r>
      <w:r w:rsidR="003477DE" w:rsidRPr="003A57C1">
        <w:rPr>
          <w:b/>
          <w:bCs/>
        </w:rPr>
        <w:t>a public hearing</w:t>
      </w:r>
      <w:r w:rsidR="003477DE">
        <w:t>.</w:t>
      </w:r>
      <w:r w:rsidR="00203C91">
        <w:t xml:space="preserve">  </w:t>
      </w:r>
      <w:r w:rsidR="00203C91" w:rsidRPr="00007602">
        <w:t>These include, but are not limited to</w:t>
      </w:r>
      <w:r w:rsidR="00203C91">
        <w:t xml:space="preserve"> (generally)</w:t>
      </w:r>
      <w:r w:rsidR="00203C91" w:rsidRPr="00007602">
        <w:t>:</w:t>
      </w:r>
    </w:p>
    <w:p w14:paraId="6CA994AE" w14:textId="33A9FD5F" w:rsidR="002F1126" w:rsidRDefault="00C25347" w:rsidP="00203C91">
      <w:pPr>
        <w:pStyle w:val="ListParagraph"/>
        <w:numPr>
          <w:ilvl w:val="2"/>
          <w:numId w:val="2"/>
        </w:numPr>
      </w:pPr>
      <w:r>
        <w:t>Exterior changes to</w:t>
      </w:r>
      <w:r w:rsidR="00240CCC">
        <w:t xml:space="preserve"> a front</w:t>
      </w:r>
      <w:r>
        <w:t xml:space="preserve"> façade that result in a style change.</w:t>
      </w:r>
    </w:p>
    <w:p w14:paraId="7DFC320E" w14:textId="0F5E1CF9" w:rsidR="00C25347" w:rsidRDefault="00611C62" w:rsidP="00203C91">
      <w:pPr>
        <w:pStyle w:val="ListParagraph"/>
        <w:numPr>
          <w:ilvl w:val="2"/>
          <w:numId w:val="2"/>
        </w:numPr>
      </w:pPr>
      <w:r>
        <w:t>Certain landscaping</w:t>
      </w:r>
      <w:r w:rsidR="00B762ED">
        <w:t>.</w:t>
      </w:r>
    </w:p>
    <w:p w14:paraId="4D4187E3" w14:textId="3F09C4DD" w:rsidR="00611C62" w:rsidRDefault="00611C62" w:rsidP="00611C62">
      <w:pPr>
        <w:pStyle w:val="ListParagraph"/>
        <w:numPr>
          <w:ilvl w:val="2"/>
          <w:numId w:val="2"/>
        </w:numPr>
      </w:pPr>
      <w:r>
        <w:t>Decks, slabs, or patios elevated more than 3’ above the existing grade.</w:t>
      </w:r>
    </w:p>
    <w:p w14:paraId="7CC7288A" w14:textId="154042ED" w:rsidR="00611C62" w:rsidRDefault="00890AE2" w:rsidP="00203C91">
      <w:pPr>
        <w:pStyle w:val="ListParagraph"/>
        <w:numPr>
          <w:ilvl w:val="2"/>
          <w:numId w:val="2"/>
        </w:numPr>
      </w:pPr>
      <w:r>
        <w:t xml:space="preserve">Minor alterations to historic resources, when the alterations </w:t>
      </w:r>
      <w:r w:rsidR="00473E79">
        <w:t xml:space="preserve">are in conformity with the US Secretary of the Interior’s </w:t>
      </w:r>
      <w:r w:rsidR="00473E79" w:rsidRPr="00610781">
        <w:rPr>
          <w:i/>
          <w:iCs/>
        </w:rPr>
        <w:t>Standards for Treatment of Historic Properties</w:t>
      </w:r>
      <w:r w:rsidR="00610781">
        <w:t>.</w:t>
      </w:r>
    </w:p>
    <w:p w14:paraId="5482688D" w14:textId="2F5307E5" w:rsidR="00AB4105" w:rsidRDefault="00AB4105" w:rsidP="00AB4105">
      <w:pPr>
        <w:pStyle w:val="ListParagraph"/>
        <w:numPr>
          <w:ilvl w:val="2"/>
          <w:numId w:val="2"/>
        </w:numPr>
      </w:pPr>
      <w:r>
        <w:t xml:space="preserve">Re-roofing projects that change the slope, roof dimensions, square footage, or pitch or that do result in white or </w:t>
      </w:r>
      <w:r w:rsidR="00E75387">
        <w:t>light-colored</w:t>
      </w:r>
      <w:r>
        <w:t xml:space="preserve"> roofs.</w:t>
      </w:r>
    </w:p>
    <w:p w14:paraId="63E1478A" w14:textId="6027B5CD" w:rsidR="00AB4105" w:rsidRDefault="00AB4105" w:rsidP="00203C91">
      <w:pPr>
        <w:pStyle w:val="ListParagraph"/>
        <w:numPr>
          <w:ilvl w:val="2"/>
          <w:numId w:val="2"/>
        </w:numPr>
      </w:pPr>
      <w:r>
        <w:t>Detached fireplaces.</w:t>
      </w:r>
    </w:p>
    <w:p w14:paraId="2103568C" w14:textId="3B0828CC" w:rsidR="00D03FC7" w:rsidRDefault="00D86A61" w:rsidP="00203C91">
      <w:pPr>
        <w:pStyle w:val="ListParagraph"/>
        <w:numPr>
          <w:ilvl w:val="2"/>
          <w:numId w:val="2"/>
        </w:numPr>
      </w:pPr>
      <w:r>
        <w:t>The addition of s</w:t>
      </w:r>
      <w:r w:rsidR="00D03FC7">
        <w:t>kylights without operable night shades</w:t>
      </w:r>
      <w:r>
        <w:t>.</w:t>
      </w:r>
    </w:p>
    <w:p w14:paraId="598C9702" w14:textId="4311E4D0" w:rsidR="00D03FC7" w:rsidRDefault="00D03FC7" w:rsidP="00203C91">
      <w:pPr>
        <w:pStyle w:val="ListParagraph"/>
        <w:numPr>
          <w:ilvl w:val="2"/>
          <w:numId w:val="2"/>
        </w:numPr>
      </w:pPr>
      <w:r>
        <w:t>Telecommunications facilities</w:t>
      </w:r>
      <w:r w:rsidR="00D86A61">
        <w:t>.</w:t>
      </w:r>
    </w:p>
    <w:p w14:paraId="7E2FA3C6" w14:textId="2083DD13" w:rsidR="00D03FC7" w:rsidRDefault="00D03FC7" w:rsidP="00203C91">
      <w:pPr>
        <w:pStyle w:val="ListParagraph"/>
        <w:numPr>
          <w:ilvl w:val="2"/>
          <w:numId w:val="2"/>
        </w:numPr>
      </w:pPr>
      <w:r>
        <w:t>Above-ground utility structures</w:t>
      </w:r>
      <w:r w:rsidR="00D86A61">
        <w:t>.</w:t>
      </w:r>
    </w:p>
    <w:p w14:paraId="3D0BA327" w14:textId="7DC4EFC0" w:rsidR="003D3EAA" w:rsidRDefault="007A4229" w:rsidP="00203C91">
      <w:pPr>
        <w:pStyle w:val="ListParagraph"/>
        <w:numPr>
          <w:ilvl w:val="2"/>
          <w:numId w:val="2"/>
        </w:numPr>
      </w:pPr>
      <w:r>
        <w:t>Certain minor capital improvement projects</w:t>
      </w:r>
      <w:r w:rsidR="00D86A61">
        <w:t>.</w:t>
      </w:r>
    </w:p>
    <w:p w14:paraId="1E032321" w14:textId="4431E099" w:rsidR="00D03FC7" w:rsidRDefault="003D3EAA" w:rsidP="00F704DE">
      <w:pPr>
        <w:ind w:left="1080"/>
      </w:pPr>
      <w:r>
        <w:t xml:space="preserve">The Community Development Director may </w:t>
      </w:r>
      <w:r w:rsidR="001564B4" w:rsidRPr="00BD61D0">
        <w:rPr>
          <w:b/>
          <w:bCs/>
        </w:rPr>
        <w:t>refer Admin DR projects to the full DRB</w:t>
      </w:r>
      <w:r w:rsidR="001564B4">
        <w:t xml:space="preserve"> or Planning Commission if the Director</w:t>
      </w:r>
      <w:r w:rsidR="00F704DE">
        <w:t xml:space="preserve"> deems it appropriate.</w:t>
      </w:r>
      <w:r w:rsidR="001564B4">
        <w:t xml:space="preserve"> </w:t>
      </w:r>
      <w:r w:rsidR="007A4229">
        <w:t xml:space="preserve"> </w:t>
      </w:r>
    </w:p>
    <w:p w14:paraId="3AF51664" w14:textId="77777777" w:rsidR="002F1126" w:rsidRDefault="002F1126" w:rsidP="002F1126">
      <w:pPr>
        <w:pStyle w:val="ListParagraph"/>
        <w:ind w:left="1080"/>
      </w:pPr>
    </w:p>
    <w:p w14:paraId="5CB51DBC" w14:textId="4A8EEB9D" w:rsidR="007A6BB7" w:rsidRPr="00BF4CF5" w:rsidRDefault="003477DE" w:rsidP="00AE458A">
      <w:pPr>
        <w:pStyle w:val="ListParagraph"/>
        <w:numPr>
          <w:ilvl w:val="0"/>
          <w:numId w:val="2"/>
        </w:numPr>
      </w:pPr>
      <w:r>
        <w:rPr>
          <w:b/>
          <w:bCs/>
        </w:rPr>
        <w:t xml:space="preserve">Consolidating Design Review Criteria.  </w:t>
      </w:r>
      <w:r w:rsidR="00376DA3">
        <w:t>We propose</w:t>
      </w:r>
      <w:r w:rsidR="005F1A7C">
        <w:t xml:space="preserve"> </w:t>
      </w:r>
      <w:r w:rsidR="00376DA3">
        <w:t>consolidati</w:t>
      </w:r>
      <w:r w:rsidR="005F1A7C">
        <w:t>ng 15 DR Criteria</w:t>
      </w:r>
      <w:r w:rsidR="00574FE8">
        <w:t xml:space="preserve"> into 7 DR Findings</w:t>
      </w:r>
      <w:r w:rsidR="005F1A7C">
        <w:t xml:space="preserve"> and making one criteria (</w:t>
      </w:r>
      <w:r w:rsidR="00957CA9">
        <w:t>Swimming Pools, Spas, and Water Features</w:t>
      </w:r>
      <w:r w:rsidR="00C42191">
        <w:t xml:space="preserve">) </w:t>
      </w:r>
      <w:r w:rsidR="003B09E7">
        <w:t>subject to objective standards in the Code</w:t>
      </w:r>
      <w:r w:rsidR="00EB01DC">
        <w:t xml:space="preserve">.  </w:t>
      </w:r>
      <w:r w:rsidR="00150198" w:rsidRPr="000C75A9">
        <w:t>Staff views this as a non-impactful change that protects DR overall, but helps staff</w:t>
      </w:r>
      <w:r w:rsidR="006D4CFE">
        <w:t xml:space="preserve"> operate more efficiently and</w:t>
      </w:r>
      <w:r w:rsidR="00150198" w:rsidRPr="000C75A9">
        <w:t xml:space="preserve"> avoid mistakes and delays</w:t>
      </w:r>
      <w:r w:rsidR="00AE458A">
        <w:t>.  There</w:t>
      </w:r>
      <w:r w:rsidR="004B5247" w:rsidRPr="00BF4CF5">
        <w:t xml:space="preserve"> is a rigidity to the current structure that </w:t>
      </w:r>
      <w:r w:rsidR="000C75A9" w:rsidRPr="00BF4CF5">
        <w:t xml:space="preserve">limits the ability of DRB and PC to </w:t>
      </w:r>
      <w:r w:rsidR="004D53E9">
        <w:t xml:space="preserve">collaborate and approve concepts during a hearing </w:t>
      </w:r>
      <w:r w:rsidR="00E50D9E">
        <w:t xml:space="preserve">as, under the current system, staff struggles to ensure that there </w:t>
      </w:r>
      <w:r w:rsidR="00840892">
        <w:t xml:space="preserve">are written facts and </w:t>
      </w:r>
      <w:r w:rsidR="00E50D9E">
        <w:t>finding</w:t>
      </w:r>
      <w:r w:rsidR="00840892">
        <w:t>s</w:t>
      </w:r>
      <w:r w:rsidR="00E50D9E">
        <w:t xml:space="preserve"> for each </w:t>
      </w:r>
      <w:proofErr w:type="gramStart"/>
      <w:r w:rsidR="00BC7E8D">
        <w:t>criteria</w:t>
      </w:r>
      <w:proofErr w:type="gramEnd"/>
      <w:r w:rsidR="00E50D9E">
        <w:t>.</w:t>
      </w:r>
    </w:p>
    <w:p w14:paraId="34295B80" w14:textId="77777777" w:rsidR="007A6BB7" w:rsidRPr="00BF4CF5" w:rsidRDefault="007A6BB7" w:rsidP="007A6BB7">
      <w:pPr>
        <w:pStyle w:val="ListParagraph"/>
        <w:ind w:left="360"/>
      </w:pPr>
    </w:p>
    <w:p w14:paraId="1F7DA9FD" w14:textId="11C2BA48" w:rsidR="004074D5" w:rsidRPr="009A7EBA" w:rsidRDefault="007A6BB7" w:rsidP="009A7EBA">
      <w:pPr>
        <w:pStyle w:val="ListParagraph"/>
        <w:ind w:left="360"/>
      </w:pPr>
      <w:r w:rsidRPr="00BF4CF5">
        <w:t xml:space="preserve">The seven </w:t>
      </w:r>
      <w:r w:rsidR="00AE458A">
        <w:t xml:space="preserve">proposed </w:t>
      </w:r>
      <w:r w:rsidRPr="00BF4CF5">
        <w:t>categories are</w:t>
      </w:r>
      <w:r w:rsidR="00AE458A">
        <w:t xml:space="preserve"> (along with the criteria that would fall into the categories)</w:t>
      </w:r>
      <w:r w:rsidRPr="00BF4CF5">
        <w:t>:</w:t>
      </w:r>
    </w:p>
    <w:p w14:paraId="6614A3EA" w14:textId="38DA01EF" w:rsidR="006F2C3B" w:rsidRPr="00BF4CF5" w:rsidRDefault="007F542F" w:rsidP="002325BD">
      <w:pPr>
        <w:pStyle w:val="ListParagraph"/>
        <w:ind w:left="360"/>
        <w:jc w:val="center"/>
      </w:pPr>
      <w:r>
        <w:rPr>
          <w:noProof/>
        </w:rPr>
        <w:drawing>
          <wp:inline distT="0" distB="0" distL="0" distR="0" wp14:anchorId="220589C6" wp14:editId="1E890618">
            <wp:extent cx="3667760" cy="4629785"/>
            <wp:effectExtent l="0" t="0" r="8890" b="0"/>
            <wp:docPr id="224292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760" cy="4629785"/>
                    </a:xfrm>
                    <a:prstGeom prst="rect">
                      <a:avLst/>
                    </a:prstGeom>
                    <a:noFill/>
                  </pic:spPr>
                </pic:pic>
              </a:graphicData>
            </a:graphic>
          </wp:inline>
        </w:drawing>
      </w:r>
    </w:p>
    <w:p w14:paraId="7A447A5B" w14:textId="77777777" w:rsidR="002325BD" w:rsidRPr="002325BD" w:rsidRDefault="002325BD" w:rsidP="002325BD">
      <w:pPr>
        <w:pStyle w:val="ListParagraph"/>
        <w:ind w:left="360"/>
      </w:pPr>
    </w:p>
    <w:p w14:paraId="7D14E30F" w14:textId="6E77D7FF" w:rsidR="0050089F" w:rsidRDefault="00876FCD" w:rsidP="0050089F">
      <w:pPr>
        <w:pStyle w:val="ListParagraph"/>
        <w:numPr>
          <w:ilvl w:val="0"/>
          <w:numId w:val="2"/>
        </w:numPr>
      </w:pPr>
      <w:r w:rsidRPr="001A0AFF">
        <w:rPr>
          <w:b/>
          <w:bCs/>
        </w:rPr>
        <w:t>Other and Miscellaneous Changes.</w:t>
      </w:r>
      <w:r>
        <w:t xml:space="preserve">  In some cases, the City’s processes and codes</w:t>
      </w:r>
      <w:r w:rsidR="00977BFF">
        <w:t xml:space="preserve"> are inconsistent with</w:t>
      </w:r>
      <w:r w:rsidR="000A527B">
        <w:t xml:space="preserve"> recent changes to State </w:t>
      </w:r>
      <w:r w:rsidR="00E14E05">
        <w:t>law or</w:t>
      </w:r>
      <w:r w:rsidR="000A527B">
        <w:t xml:space="preserve"> can add to inefficiencies that slow project considerations.  In other cases, design </w:t>
      </w:r>
      <w:r w:rsidR="00742EA2">
        <w:t xml:space="preserve">guidelines appear in multiple sections of the LBMC within neighborhood reference sections (where they are arguably not needed).  </w:t>
      </w:r>
      <w:r w:rsidR="00996ABE">
        <w:t>We are also taking this opportunity to improve our transparency with the public by clearing up ambiguities in the LBMC. In many cases, these code ambiguities are resolved through policy interpretations that have been rendered over the years. Today, that can mean that correct code interpretations may rely on institutional knowledge (yours and ours) to navigate the development process. These changes include:</w:t>
      </w:r>
    </w:p>
    <w:p w14:paraId="37761972" w14:textId="7D076921" w:rsidR="0050089F" w:rsidRDefault="00742EA2" w:rsidP="00742EA2">
      <w:pPr>
        <w:pStyle w:val="ListParagraph"/>
        <w:numPr>
          <w:ilvl w:val="1"/>
          <w:numId w:val="2"/>
        </w:numPr>
      </w:pPr>
      <w:r>
        <w:t xml:space="preserve">A new limitation on </w:t>
      </w:r>
      <w:r w:rsidR="0050089F">
        <w:t>applications to 2 DRB or 2 PC hearings</w:t>
      </w:r>
      <w:r>
        <w:t xml:space="preserve"> and a p</w:t>
      </w:r>
      <w:r w:rsidR="0050089F">
        <w:t>rohibit</w:t>
      </w:r>
      <w:r>
        <w:t>ion on</w:t>
      </w:r>
      <w:r w:rsidR="0050089F">
        <w:t xml:space="preserve"> resubmittals on the same parcel for six </w:t>
      </w:r>
      <w:r w:rsidR="00A173AA">
        <w:t xml:space="preserve">(6) </w:t>
      </w:r>
      <w:r w:rsidR="0050089F">
        <w:t>months</w:t>
      </w:r>
      <w:r w:rsidR="00A173AA">
        <w:t>; and</w:t>
      </w:r>
    </w:p>
    <w:p w14:paraId="542FDE47" w14:textId="71254910" w:rsidR="0050089F" w:rsidRDefault="0050089F" w:rsidP="0050089F">
      <w:pPr>
        <w:pStyle w:val="ListParagraph"/>
        <w:numPr>
          <w:ilvl w:val="1"/>
          <w:numId w:val="2"/>
        </w:numPr>
      </w:pPr>
      <w:r>
        <w:t>Remov</w:t>
      </w:r>
      <w:r w:rsidR="00742EA2">
        <w:t xml:space="preserve">al of </w:t>
      </w:r>
      <w:r>
        <w:t xml:space="preserve">some duplicative language </w:t>
      </w:r>
      <w:r w:rsidR="00ED3BA5">
        <w:t>in other sections of Title 25 that apply the same or similar design guidelines.</w:t>
      </w:r>
    </w:p>
    <w:p w14:paraId="0B933A09" w14:textId="3E350483" w:rsidR="007771F4" w:rsidRDefault="00B86E4A" w:rsidP="00B86E4A">
      <w:pPr>
        <w:pStyle w:val="ListParagraph"/>
        <w:numPr>
          <w:ilvl w:val="1"/>
          <w:numId w:val="2"/>
        </w:numPr>
        <w:jc w:val="both"/>
      </w:pPr>
      <w:r>
        <w:t xml:space="preserve">Rewording of some development standards and other key code provisions for clarity to improve consistency in how planning staff and design professionals are interpreting and applying requirements to projects.  </w:t>
      </w:r>
    </w:p>
    <w:p w14:paraId="03F8E487" w14:textId="77777777" w:rsidR="00ED3BA5" w:rsidRPr="00876FCD" w:rsidRDefault="00ED3BA5" w:rsidP="001A0AFF">
      <w:pPr>
        <w:pStyle w:val="ListParagraph"/>
        <w:ind w:left="1080"/>
      </w:pPr>
    </w:p>
    <w:p w14:paraId="26261998" w14:textId="6B880A0D" w:rsidR="003477DE" w:rsidRDefault="002F1126" w:rsidP="002F1126">
      <w:pPr>
        <w:pStyle w:val="ListParagraph"/>
        <w:numPr>
          <w:ilvl w:val="0"/>
          <w:numId w:val="2"/>
        </w:numPr>
      </w:pPr>
      <w:r w:rsidRPr="003477DE">
        <w:rPr>
          <w:b/>
          <w:bCs/>
        </w:rPr>
        <w:t>Improvements to our Historic Resource Management</w:t>
      </w:r>
      <w:r>
        <w:t>.</w:t>
      </w:r>
      <w:r w:rsidR="00235269">
        <w:t xml:space="preserve">  These changes</w:t>
      </w:r>
      <w:r w:rsidR="00080FFD">
        <w:t xml:space="preserve"> are not all LBMC code </w:t>
      </w:r>
      <w:r w:rsidR="00E14E05">
        <w:t>changes and</w:t>
      </w:r>
      <w:r w:rsidR="00080FFD">
        <w:t xml:space="preserve"> include </w:t>
      </w:r>
      <w:r w:rsidR="00074419">
        <w:t>process and staffing changes that</w:t>
      </w:r>
      <w:r w:rsidR="00235269">
        <w:t xml:space="preserve"> attempt to improve how the Community Development staff treats properties that are </w:t>
      </w:r>
      <w:r w:rsidR="00080FFD">
        <w:t xml:space="preserve">determined to be </w:t>
      </w:r>
      <w:r w:rsidR="00235269">
        <w:t xml:space="preserve">or may be a </w:t>
      </w:r>
      <w:r w:rsidR="00EE42A0">
        <w:t xml:space="preserve">qualifying </w:t>
      </w:r>
      <w:r w:rsidR="00235269">
        <w:t xml:space="preserve">historic resource. </w:t>
      </w:r>
      <w:r w:rsidR="003477DE">
        <w:t xml:space="preserve">  They include:</w:t>
      </w:r>
    </w:p>
    <w:p w14:paraId="2F717975" w14:textId="5B93FB2C" w:rsidR="00687A0C" w:rsidRPr="00111752" w:rsidRDefault="00C14DA2" w:rsidP="003477DE">
      <w:pPr>
        <w:pStyle w:val="ListParagraph"/>
        <w:numPr>
          <w:ilvl w:val="1"/>
          <w:numId w:val="2"/>
        </w:numPr>
        <w:rPr>
          <w:i/>
          <w:iCs/>
        </w:rPr>
      </w:pPr>
      <w:r w:rsidRPr="00111752">
        <w:rPr>
          <w:i/>
          <w:iCs/>
        </w:rPr>
        <w:t>Administrative Improvements</w:t>
      </w:r>
    </w:p>
    <w:p w14:paraId="397710A3" w14:textId="71559FA7" w:rsidR="00687A0C" w:rsidRDefault="00687A0C" w:rsidP="00687A0C">
      <w:pPr>
        <w:pStyle w:val="ListParagraph"/>
        <w:numPr>
          <w:ilvl w:val="2"/>
          <w:numId w:val="2"/>
        </w:numPr>
      </w:pPr>
      <w:r w:rsidRPr="00A023C0">
        <w:rPr>
          <w:b/>
          <w:bCs/>
        </w:rPr>
        <w:t>Register</w:t>
      </w:r>
      <w:r>
        <w:t xml:space="preserve">. </w:t>
      </w:r>
      <w:r w:rsidR="00B443BD" w:rsidRPr="00E473ED">
        <w:t>F</w:t>
      </w:r>
      <w:r w:rsidR="00C14DA2" w:rsidRPr="00E473ED">
        <w:t xml:space="preserve">iles </w:t>
      </w:r>
      <w:r w:rsidR="00B443BD" w:rsidRPr="00E473ED">
        <w:t xml:space="preserve">for properties </w:t>
      </w:r>
      <w:r w:rsidR="001A0AFF" w:rsidRPr="00E473ED">
        <w:t xml:space="preserve">on the </w:t>
      </w:r>
      <w:r w:rsidR="001A0AFF" w:rsidRPr="00A355E6">
        <w:rPr>
          <w:b/>
          <w:bCs/>
        </w:rPr>
        <w:t>Historic Register</w:t>
      </w:r>
      <w:r w:rsidR="001A0AFF" w:rsidRPr="00E473ED">
        <w:t xml:space="preserve"> would be</w:t>
      </w:r>
      <w:r w:rsidR="00EE42A0">
        <w:t xml:space="preserve"> researched and</w:t>
      </w:r>
      <w:r w:rsidR="001A0AFF" w:rsidRPr="00E473ED">
        <w:t xml:space="preserve"> </w:t>
      </w:r>
      <w:r w:rsidR="00B443BD" w:rsidRPr="00E473ED">
        <w:t>reviewed for appropriate documentation</w:t>
      </w:r>
      <w:r w:rsidR="00E473ED" w:rsidRPr="00E473ED">
        <w:t>, along with an action plan for any anomalies in the files.</w:t>
      </w:r>
    </w:p>
    <w:p w14:paraId="28B42825" w14:textId="1D61454F" w:rsidR="0005409A" w:rsidRDefault="0005409A" w:rsidP="0005409A">
      <w:pPr>
        <w:pStyle w:val="ListParagraph"/>
        <w:numPr>
          <w:ilvl w:val="2"/>
          <w:numId w:val="2"/>
        </w:numPr>
        <w:spacing w:line="276" w:lineRule="auto"/>
      </w:pPr>
      <w:r>
        <w:rPr>
          <w:b/>
          <w:bCs/>
        </w:rPr>
        <w:t>Non-Register Properties.</w:t>
      </w:r>
      <w:r>
        <w:t xml:space="preserve">  With a consultant’s assistance, a system will be created to assist staff in reviewing pending applications for Non-Register Properties to evaluate</w:t>
      </w:r>
      <w:r>
        <w:t xml:space="preserve"> </w:t>
      </w:r>
      <w:r>
        <w:t xml:space="preserve">evidence of historicity to determine whether the property falls within the definition of a qualifying historic resource for purposes of </w:t>
      </w:r>
      <w:r>
        <w:t>CEQA.</w:t>
      </w:r>
    </w:p>
    <w:p w14:paraId="2AC1824B" w14:textId="5B9B41FA" w:rsidR="006F7CC7" w:rsidRDefault="006F7CC7" w:rsidP="00687A0C">
      <w:pPr>
        <w:pStyle w:val="ListParagraph"/>
        <w:numPr>
          <w:ilvl w:val="2"/>
          <w:numId w:val="2"/>
        </w:numPr>
      </w:pPr>
      <w:r>
        <w:rPr>
          <w:b/>
          <w:bCs/>
        </w:rPr>
        <w:t>Preservation Planner.</w:t>
      </w:r>
      <w:r>
        <w:t xml:space="preserve">  W</w:t>
      </w:r>
      <w:r w:rsidR="003B08D9">
        <w:t xml:space="preserve">e’re also proposing </w:t>
      </w:r>
      <w:r w:rsidR="00415F7F">
        <w:t xml:space="preserve">to engage </w:t>
      </w:r>
      <w:r w:rsidR="003B08D9">
        <w:t>a full time, part time, or consultant position qualified to regularly address historic preservation issues</w:t>
      </w:r>
      <w:r w:rsidR="002640C8">
        <w:t xml:space="preserve"> as</w:t>
      </w:r>
      <w:r w:rsidR="007F0EA9">
        <w:t xml:space="preserve"> project</w:t>
      </w:r>
      <w:r w:rsidR="002640C8">
        <w:t xml:space="preserve"> applications come in.</w:t>
      </w:r>
    </w:p>
    <w:p w14:paraId="07D0961F" w14:textId="6E3EF97F" w:rsidR="002640C8" w:rsidRPr="00E473ED" w:rsidRDefault="002640C8" w:rsidP="00687A0C">
      <w:pPr>
        <w:pStyle w:val="ListParagraph"/>
        <w:numPr>
          <w:ilvl w:val="2"/>
          <w:numId w:val="2"/>
        </w:numPr>
      </w:pPr>
      <w:r>
        <w:rPr>
          <w:b/>
          <w:bCs/>
        </w:rPr>
        <w:t>Review of the Heritage Committee’s role.</w:t>
      </w:r>
      <w:r>
        <w:t xml:space="preserve"> </w:t>
      </w:r>
      <w:r w:rsidR="00007BF7">
        <w:t xml:space="preserve"> This includes</w:t>
      </w:r>
      <w:r>
        <w:t xml:space="preserve"> consideration</w:t>
      </w:r>
      <w:r w:rsidR="00007BF7">
        <w:t xml:space="preserve"> of a specific </w:t>
      </w:r>
      <w:r w:rsidR="007F0EA9">
        <w:t xml:space="preserve">Heritage </w:t>
      </w:r>
      <w:r w:rsidR="00007BF7">
        <w:t xml:space="preserve">Committee workplan, as well as consideration of morphing the Committee into a Commission that has DR authority over </w:t>
      </w:r>
      <w:r w:rsidR="00AE3D50">
        <w:t xml:space="preserve">Register properties (in this model, </w:t>
      </w:r>
      <w:proofErr w:type="gramStart"/>
      <w:r w:rsidR="00AE3D50">
        <w:t>Register</w:t>
      </w:r>
      <w:proofErr w:type="gramEnd"/>
      <w:r w:rsidR="00AE3D50">
        <w:t xml:space="preserve"> properties would no longer go through DR</w:t>
      </w:r>
      <w:r w:rsidR="00415F7F">
        <w:t>B</w:t>
      </w:r>
      <w:r w:rsidR="00AE3D50">
        <w:t xml:space="preserve"> or </w:t>
      </w:r>
      <w:r w:rsidR="00415F7F">
        <w:t>PC review</w:t>
      </w:r>
      <w:r w:rsidR="00AE3D50">
        <w:t xml:space="preserve"> but would go to </w:t>
      </w:r>
      <w:r w:rsidR="007F0EA9">
        <w:t>a new</w:t>
      </w:r>
      <w:r w:rsidR="00AE3D50">
        <w:t xml:space="preserve"> Heritage Commission).</w:t>
      </w:r>
      <w:r>
        <w:t xml:space="preserve"> </w:t>
      </w:r>
    </w:p>
    <w:p w14:paraId="2C7EAC6E" w14:textId="277D06A2" w:rsidR="00E473ED" w:rsidRPr="00111752" w:rsidRDefault="00697F05" w:rsidP="003477DE">
      <w:pPr>
        <w:pStyle w:val="ListParagraph"/>
        <w:numPr>
          <w:ilvl w:val="1"/>
          <w:numId w:val="2"/>
        </w:numPr>
        <w:rPr>
          <w:i/>
          <w:iCs/>
        </w:rPr>
      </w:pPr>
      <w:r w:rsidRPr="00111752">
        <w:rPr>
          <w:i/>
          <w:iCs/>
        </w:rPr>
        <w:t>Code Changes</w:t>
      </w:r>
    </w:p>
    <w:p w14:paraId="54E49BFB" w14:textId="14E22015" w:rsidR="00EB6B8A" w:rsidRPr="00EB6B8A" w:rsidRDefault="008177CA" w:rsidP="00EB6B8A">
      <w:pPr>
        <w:pStyle w:val="ListParagraph"/>
        <w:numPr>
          <w:ilvl w:val="2"/>
          <w:numId w:val="2"/>
        </w:numPr>
      </w:pPr>
      <w:r w:rsidRPr="00EB6B8A">
        <w:rPr>
          <w:b/>
          <w:bCs/>
        </w:rPr>
        <w:t>Minor property alterations</w:t>
      </w:r>
      <w:r w:rsidR="004F5F07">
        <w:rPr>
          <w:b/>
          <w:bCs/>
        </w:rPr>
        <w:t xml:space="preserve"> of Historic Properties</w:t>
      </w:r>
      <w:r>
        <w:t xml:space="preserve">. </w:t>
      </w:r>
      <w:r w:rsidR="00A738F4">
        <w:t xml:space="preserve">These would be approved via Admin DR provided that the proposed changes are consistent with the US Secretary of the Interior’s </w:t>
      </w:r>
      <w:r w:rsidR="00A738F4" w:rsidRPr="2333FDC4">
        <w:rPr>
          <w:i/>
          <w:iCs/>
        </w:rPr>
        <w:t>Standards for Treatment of Historic Properties.</w:t>
      </w:r>
      <w:r w:rsidR="00A738F4">
        <w:rPr>
          <w:i/>
          <w:iCs/>
        </w:rPr>
        <w:t xml:space="preserve"> </w:t>
      </w:r>
      <w:r w:rsidR="00A738F4">
        <w:t>The proposed alterations would be considered at a public hearing if requested by a neighbor.</w:t>
      </w:r>
    </w:p>
    <w:p w14:paraId="3F9D54C5" w14:textId="55B5B350" w:rsidR="00697F05" w:rsidRDefault="00EB6B8A" w:rsidP="00697F05">
      <w:pPr>
        <w:pStyle w:val="ListParagraph"/>
        <w:numPr>
          <w:ilvl w:val="2"/>
          <w:numId w:val="2"/>
        </w:numPr>
      </w:pPr>
      <w:r w:rsidRPr="00720AF1">
        <w:rPr>
          <w:b/>
          <w:bCs/>
        </w:rPr>
        <w:t>Major property alterations</w:t>
      </w:r>
      <w:r w:rsidR="004F5F07">
        <w:rPr>
          <w:b/>
          <w:bCs/>
        </w:rPr>
        <w:t xml:space="preserve"> of Historic Properties</w:t>
      </w:r>
      <w:r>
        <w:t xml:space="preserve">.  </w:t>
      </w:r>
      <w:r w:rsidR="00A17902">
        <w:t xml:space="preserve">These would be defined and would require Heritage Committee review and approval only at a public hearing.  </w:t>
      </w:r>
    </w:p>
    <w:p w14:paraId="48ABA4D6" w14:textId="7E7867F0" w:rsidR="00111752" w:rsidRPr="00111752" w:rsidRDefault="00BA752F" w:rsidP="00111752">
      <w:pPr>
        <w:pStyle w:val="ListParagraph"/>
        <w:numPr>
          <w:ilvl w:val="2"/>
          <w:numId w:val="2"/>
        </w:numPr>
      </w:pPr>
      <w:r w:rsidRPr="00720AF1">
        <w:rPr>
          <w:b/>
          <w:bCs/>
        </w:rPr>
        <w:t>Historic Resource Assessments:</w:t>
      </w:r>
      <w:r>
        <w:t xml:space="preserve">  The Code would </w:t>
      </w:r>
      <w:r w:rsidR="004D60B2">
        <w:t xml:space="preserve">clarify </w:t>
      </w:r>
      <w:r>
        <w:t>that</w:t>
      </w:r>
      <w:r w:rsidR="004F5F07">
        <w:t>, depending on the property,</w:t>
      </w:r>
      <w:r>
        <w:t xml:space="preserve"> </w:t>
      </w:r>
      <w:r w:rsidR="004F5F07">
        <w:t>historic resource assessments</w:t>
      </w:r>
      <w:r>
        <w:t xml:space="preserve"> may be </w:t>
      </w:r>
      <w:r w:rsidR="00111752" w:rsidRPr="00111752">
        <w:t>required prior to project review and paid for by</w:t>
      </w:r>
      <w:r w:rsidR="00720AF1">
        <w:t>:</w:t>
      </w:r>
    </w:p>
    <w:p w14:paraId="7BDF808D" w14:textId="77777777" w:rsidR="00111752" w:rsidRPr="00111752" w:rsidRDefault="00111752" w:rsidP="00111752">
      <w:pPr>
        <w:pStyle w:val="ListParagraph"/>
        <w:numPr>
          <w:ilvl w:val="3"/>
          <w:numId w:val="2"/>
        </w:numPr>
      </w:pPr>
      <w:r w:rsidRPr="00111752">
        <w:t>The City (where City is not confident that the property is a historic resource).</w:t>
      </w:r>
    </w:p>
    <w:p w14:paraId="4853A71F" w14:textId="77777777" w:rsidR="00111752" w:rsidRPr="00111752" w:rsidRDefault="00111752" w:rsidP="00111752">
      <w:pPr>
        <w:pStyle w:val="ListParagraph"/>
        <w:numPr>
          <w:ilvl w:val="3"/>
          <w:numId w:val="2"/>
        </w:numPr>
      </w:pPr>
      <w:r w:rsidRPr="00111752">
        <w:t>The Applicant (where City is confident that the property is a historic resource).</w:t>
      </w:r>
    </w:p>
    <w:p w14:paraId="7E4BF78B" w14:textId="4C3F1A84" w:rsidR="00BA752F" w:rsidRDefault="00BA752F" w:rsidP="00720AF1">
      <w:pPr>
        <w:pStyle w:val="ListParagraph"/>
        <w:ind w:left="0"/>
      </w:pPr>
    </w:p>
    <w:p w14:paraId="78FC5F05" w14:textId="7083F810" w:rsidR="00F561CB" w:rsidRDefault="00567F52" w:rsidP="00720AF1">
      <w:pPr>
        <w:pStyle w:val="ListParagraph"/>
        <w:ind w:left="0"/>
      </w:pPr>
      <w:r w:rsidRPr="00567F52">
        <w:rPr>
          <w:b/>
          <w:bCs/>
        </w:rPr>
        <w:t>How You can Weigh In.</w:t>
      </w:r>
      <w:r>
        <w:t xml:space="preserve">  </w:t>
      </w:r>
      <w:r w:rsidR="00720AF1">
        <w:t xml:space="preserve">If you want to delve deeper into </w:t>
      </w:r>
      <w:r w:rsidR="002E0059">
        <w:t>the</w:t>
      </w:r>
      <w:r w:rsidR="00720AF1">
        <w:t xml:space="preserve"> </w:t>
      </w:r>
      <w:r w:rsidR="004D60B2">
        <w:t xml:space="preserve">proposed </w:t>
      </w:r>
      <w:r w:rsidR="00720AF1">
        <w:t xml:space="preserve">changes, </w:t>
      </w:r>
      <w:r w:rsidR="002E0059">
        <w:t xml:space="preserve">please see the linked attachment, which is a redline version of how </w:t>
      </w:r>
      <w:r>
        <w:t xml:space="preserve">the LBMC’s </w:t>
      </w:r>
      <w:r w:rsidR="002E0059">
        <w:t xml:space="preserve">Title 25 might change.  </w:t>
      </w:r>
    </w:p>
    <w:p w14:paraId="2B8DE04A" w14:textId="77777777" w:rsidR="00F561CB" w:rsidRDefault="00F561CB" w:rsidP="00720AF1">
      <w:pPr>
        <w:pStyle w:val="ListParagraph"/>
        <w:ind w:left="0"/>
      </w:pPr>
    </w:p>
    <w:p w14:paraId="1F7CDF6A" w14:textId="740E0150" w:rsidR="00B17B6C" w:rsidRDefault="00E603C6" w:rsidP="00720AF1">
      <w:pPr>
        <w:pStyle w:val="ListParagraph"/>
        <w:ind w:left="0"/>
      </w:pPr>
      <w:r>
        <w:t xml:space="preserve">Please provide any feedback </w:t>
      </w:r>
      <w:r w:rsidR="00B17B6C">
        <w:t>to us</w:t>
      </w:r>
      <w:r>
        <w:t xml:space="preserve"> by </w:t>
      </w:r>
      <w:r w:rsidR="00B17B6C" w:rsidRPr="004426BB">
        <w:rPr>
          <w:b/>
          <w:bCs/>
        </w:rPr>
        <w:t xml:space="preserve">Thursday, </w:t>
      </w:r>
      <w:r w:rsidR="007F542F">
        <w:rPr>
          <w:b/>
          <w:bCs/>
        </w:rPr>
        <w:t>November 14</w:t>
      </w:r>
      <w:r w:rsidR="00B17B6C" w:rsidRPr="004426BB">
        <w:rPr>
          <w:b/>
          <w:bCs/>
        </w:rPr>
        <w:t>, 2024.</w:t>
      </w:r>
      <w:r w:rsidR="00B17B6C">
        <w:t xml:space="preserve"> </w:t>
      </w:r>
      <w:r w:rsidR="00F65EBB">
        <w:t xml:space="preserve"> Please use the fillable form on the City’s website.</w:t>
      </w:r>
    </w:p>
    <w:p w14:paraId="7826309C" w14:textId="77777777" w:rsidR="000D7182" w:rsidRDefault="000D7182" w:rsidP="00720AF1">
      <w:pPr>
        <w:pStyle w:val="ListParagraph"/>
        <w:ind w:left="0"/>
      </w:pPr>
    </w:p>
    <w:p w14:paraId="186AB938" w14:textId="77777777" w:rsidR="00E14E05" w:rsidRPr="00E14E05" w:rsidRDefault="00E14E05" w:rsidP="00720AF1">
      <w:pPr>
        <w:pStyle w:val="ListParagraph"/>
        <w:ind w:left="0"/>
        <w:rPr>
          <w:b/>
          <w:bCs/>
        </w:rPr>
      </w:pPr>
      <w:r w:rsidRPr="00E14E05">
        <w:rPr>
          <w:b/>
          <w:bCs/>
        </w:rPr>
        <w:t>Attachments:</w:t>
      </w:r>
    </w:p>
    <w:p w14:paraId="3267B1D9" w14:textId="3A2FD75C" w:rsidR="000D7182" w:rsidRDefault="005E2EA5" w:rsidP="00E14E05">
      <w:pPr>
        <w:pStyle w:val="ListParagraph"/>
        <w:numPr>
          <w:ilvl w:val="0"/>
          <w:numId w:val="6"/>
        </w:numPr>
      </w:pPr>
      <w:r>
        <w:t xml:space="preserve">Attachment A:  What the City of Laguna Beach’s </w:t>
      </w:r>
      <w:r w:rsidR="0098420E">
        <w:t>6</w:t>
      </w:r>
      <w:r w:rsidR="0098420E" w:rsidRPr="0098420E">
        <w:rPr>
          <w:vertAlign w:val="superscript"/>
        </w:rPr>
        <w:t>th</w:t>
      </w:r>
      <w:r w:rsidR="0098420E">
        <w:t xml:space="preserve"> Cycle H</w:t>
      </w:r>
      <w:r>
        <w:t xml:space="preserve">ousing </w:t>
      </w:r>
      <w:r w:rsidR="0098420E">
        <w:t>E</w:t>
      </w:r>
      <w:r>
        <w:t>lement (2021-2029) says about Design Review and Permit Streamlining</w:t>
      </w:r>
    </w:p>
    <w:p w14:paraId="10FD8EBB" w14:textId="04C5FAA2" w:rsidR="00E14E05" w:rsidRDefault="00E14E05" w:rsidP="00E14E05">
      <w:pPr>
        <w:pStyle w:val="ListParagraph"/>
        <w:numPr>
          <w:ilvl w:val="0"/>
          <w:numId w:val="6"/>
        </w:numPr>
      </w:pPr>
      <w:r>
        <w:t>Attachment B:  Redline version of aspects of the LBMC</w:t>
      </w:r>
    </w:p>
    <w:p w14:paraId="5AC6A6D9" w14:textId="709C8936" w:rsidR="00D354CC" w:rsidRDefault="00D354CC" w:rsidP="00720AF1">
      <w:pPr>
        <w:pStyle w:val="ListParagraph"/>
        <w:ind w:left="0"/>
      </w:pPr>
    </w:p>
    <w:p w14:paraId="4048E2BE" w14:textId="77777777" w:rsidR="00D354CC" w:rsidRDefault="00D354CC">
      <w:r>
        <w:br w:type="page"/>
      </w:r>
    </w:p>
    <w:p w14:paraId="0315A661" w14:textId="0E77C20C" w:rsidR="00D354CC" w:rsidRDefault="00D354CC" w:rsidP="00720AF1">
      <w:pPr>
        <w:pStyle w:val="ListParagraph"/>
        <w:ind w:left="0"/>
      </w:pPr>
    </w:p>
    <w:p w14:paraId="7DC1B7FA" w14:textId="5068AD21" w:rsidR="00D354CC" w:rsidRPr="00925AE0" w:rsidRDefault="00D354CC" w:rsidP="00D354CC">
      <w:pPr>
        <w:pStyle w:val="ListParagraph"/>
        <w:ind w:left="0"/>
        <w:jc w:val="center"/>
        <w:rPr>
          <w:b/>
          <w:bCs/>
        </w:rPr>
      </w:pPr>
      <w:r w:rsidRPr="00925AE0">
        <w:rPr>
          <w:b/>
          <w:bCs/>
        </w:rPr>
        <w:t>Attachment A</w:t>
      </w:r>
    </w:p>
    <w:p w14:paraId="57306D09" w14:textId="27DE34DC" w:rsidR="00D354CC" w:rsidRPr="00D354CC" w:rsidRDefault="00D354CC" w:rsidP="00D354CC">
      <w:pPr>
        <w:pStyle w:val="ListParagraph"/>
        <w:ind w:left="0"/>
        <w:jc w:val="center"/>
        <w:rPr>
          <w:i/>
          <w:iCs/>
        </w:rPr>
      </w:pPr>
      <w:r w:rsidRPr="00D354CC">
        <w:rPr>
          <w:i/>
          <w:iCs/>
        </w:rPr>
        <w:t>From the City’s Housing Element (2021-2029)</w:t>
      </w:r>
    </w:p>
    <w:p w14:paraId="369A16C7" w14:textId="77777777" w:rsidR="00D354CC" w:rsidRDefault="00D354CC" w:rsidP="00720AF1">
      <w:pPr>
        <w:pStyle w:val="ListParagraph"/>
        <w:ind w:left="0"/>
      </w:pPr>
    </w:p>
    <w:p w14:paraId="27A9EEDC" w14:textId="577D520E" w:rsidR="006D5B17" w:rsidRDefault="00147E5D" w:rsidP="00720AF1">
      <w:pPr>
        <w:pStyle w:val="ListParagraph"/>
        <w:ind w:left="0"/>
      </w:pPr>
      <w:r w:rsidRPr="00147E5D">
        <w:rPr>
          <w:noProof/>
        </w:rPr>
        <w:drawing>
          <wp:inline distT="0" distB="0" distL="0" distR="0" wp14:anchorId="1BEF1580" wp14:editId="5698C60E">
            <wp:extent cx="5943600" cy="7343140"/>
            <wp:effectExtent l="0" t="0" r="0" b="0"/>
            <wp:docPr id="1953667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67203" name="Picture 1" descr="Graphical user interface, text, application&#10;&#10;Description automatically generated"/>
                    <pic:cNvPicPr/>
                  </pic:nvPicPr>
                  <pic:blipFill>
                    <a:blip r:embed="rId12"/>
                    <a:stretch>
                      <a:fillRect/>
                    </a:stretch>
                  </pic:blipFill>
                  <pic:spPr>
                    <a:xfrm>
                      <a:off x="0" y="0"/>
                      <a:ext cx="5943600" cy="7343140"/>
                    </a:xfrm>
                    <a:prstGeom prst="rect">
                      <a:avLst/>
                    </a:prstGeom>
                  </pic:spPr>
                </pic:pic>
              </a:graphicData>
            </a:graphic>
          </wp:inline>
        </w:drawing>
      </w:r>
    </w:p>
    <w:p w14:paraId="71F024AB" w14:textId="77777777" w:rsidR="00920A95" w:rsidRDefault="00920A95" w:rsidP="00720AF1">
      <w:pPr>
        <w:pStyle w:val="ListParagraph"/>
        <w:ind w:left="0"/>
      </w:pPr>
    </w:p>
    <w:p w14:paraId="50778085" w14:textId="77777777" w:rsidR="00920A95" w:rsidRDefault="00920A95" w:rsidP="00720AF1">
      <w:pPr>
        <w:pStyle w:val="ListParagraph"/>
        <w:ind w:left="0"/>
      </w:pPr>
    </w:p>
    <w:p w14:paraId="3E5A7189" w14:textId="7C18472E" w:rsidR="00920A95" w:rsidRPr="00925AE0" w:rsidRDefault="00920A95" w:rsidP="00920A95">
      <w:pPr>
        <w:pStyle w:val="ListParagraph"/>
        <w:ind w:left="0"/>
        <w:jc w:val="center"/>
        <w:rPr>
          <w:b/>
          <w:bCs/>
        </w:rPr>
      </w:pPr>
      <w:r w:rsidRPr="00925AE0">
        <w:rPr>
          <w:b/>
          <w:bCs/>
        </w:rPr>
        <w:t>Attachment B</w:t>
      </w:r>
    </w:p>
    <w:p w14:paraId="3724738E" w14:textId="44D1652E" w:rsidR="00920A95" w:rsidRPr="00920A95" w:rsidRDefault="00920A95" w:rsidP="00920A95">
      <w:pPr>
        <w:pStyle w:val="ListParagraph"/>
        <w:ind w:left="0"/>
        <w:jc w:val="center"/>
        <w:rPr>
          <w:i/>
          <w:iCs/>
        </w:rPr>
      </w:pPr>
      <w:r w:rsidRPr="00920A95">
        <w:rPr>
          <w:i/>
          <w:iCs/>
        </w:rPr>
        <w:t>Proposed Redline of Changes to the LBMC</w:t>
      </w:r>
    </w:p>
    <w:sectPr w:rsidR="00920A95" w:rsidRPr="00920A95" w:rsidSect="007F542F">
      <w:headerReference w:type="default" r:id="rId13"/>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62491" w14:textId="77777777" w:rsidR="00AA262D" w:rsidRDefault="00AA262D" w:rsidP="00232D2B">
      <w:pPr>
        <w:spacing w:after="0" w:line="240" w:lineRule="auto"/>
      </w:pPr>
      <w:r>
        <w:separator/>
      </w:r>
    </w:p>
  </w:endnote>
  <w:endnote w:type="continuationSeparator" w:id="0">
    <w:p w14:paraId="29C85B1B" w14:textId="77777777" w:rsidR="00AA262D" w:rsidRDefault="00AA262D" w:rsidP="0023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91996" w14:textId="77777777" w:rsidR="00AA262D" w:rsidRDefault="00AA262D" w:rsidP="00232D2B">
      <w:pPr>
        <w:spacing w:after="0" w:line="240" w:lineRule="auto"/>
      </w:pPr>
      <w:r>
        <w:separator/>
      </w:r>
    </w:p>
  </w:footnote>
  <w:footnote w:type="continuationSeparator" w:id="0">
    <w:p w14:paraId="1EDCA943" w14:textId="77777777" w:rsidR="00AA262D" w:rsidRDefault="00AA262D" w:rsidP="00232D2B">
      <w:pPr>
        <w:spacing w:after="0" w:line="240" w:lineRule="auto"/>
      </w:pPr>
      <w:r>
        <w:continuationSeparator/>
      </w:r>
    </w:p>
  </w:footnote>
  <w:footnote w:id="1">
    <w:p w14:paraId="477F6644" w14:textId="52D1B8F4" w:rsidR="00CD567C" w:rsidRDefault="00CD567C">
      <w:pPr>
        <w:pStyle w:val="FootnoteText"/>
      </w:pPr>
      <w:r>
        <w:rPr>
          <w:rStyle w:val="FootnoteReference"/>
        </w:rPr>
        <w:footnoteRef/>
      </w:r>
      <w:r>
        <w:t xml:space="preserve"> Such projects may be subject to a coastal development permit exemption or to an administrative coastal development permit.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718514"/>
      <w:docPartObj>
        <w:docPartGallery w:val="Page Numbers (Top of Page)"/>
        <w:docPartUnique/>
      </w:docPartObj>
    </w:sdtPr>
    <w:sdtEndPr>
      <w:rPr>
        <w:noProof/>
      </w:rPr>
    </w:sdtEndPr>
    <w:sdtContent>
      <w:p w14:paraId="194EAA39" w14:textId="538448AA" w:rsidR="007F542F" w:rsidRDefault="007F542F" w:rsidP="007F542F">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CD505CE" w14:textId="77777777" w:rsidR="007F542F" w:rsidRDefault="007F5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17FE"/>
    <w:multiLevelType w:val="hybridMultilevel"/>
    <w:tmpl w:val="2580F210"/>
    <w:lvl w:ilvl="0" w:tplc="08D4EC14">
      <w:start w:val="1"/>
      <w:numFmt w:val="bullet"/>
      <w:lvlText w:val="•"/>
      <w:lvlJc w:val="left"/>
      <w:pPr>
        <w:tabs>
          <w:tab w:val="num" w:pos="720"/>
        </w:tabs>
        <w:ind w:left="720" w:hanging="360"/>
      </w:pPr>
      <w:rPr>
        <w:rFonts w:ascii="Arial" w:hAnsi="Arial" w:hint="default"/>
      </w:rPr>
    </w:lvl>
    <w:lvl w:ilvl="1" w:tplc="7A20929C">
      <w:start w:val="1"/>
      <w:numFmt w:val="bullet"/>
      <w:lvlText w:val="•"/>
      <w:lvlJc w:val="left"/>
      <w:pPr>
        <w:tabs>
          <w:tab w:val="num" w:pos="1440"/>
        </w:tabs>
        <w:ind w:left="1440" w:hanging="360"/>
      </w:pPr>
      <w:rPr>
        <w:rFonts w:ascii="Arial" w:hAnsi="Arial" w:hint="default"/>
      </w:rPr>
    </w:lvl>
    <w:lvl w:ilvl="2" w:tplc="02A6ED26" w:tentative="1">
      <w:start w:val="1"/>
      <w:numFmt w:val="bullet"/>
      <w:lvlText w:val="•"/>
      <w:lvlJc w:val="left"/>
      <w:pPr>
        <w:tabs>
          <w:tab w:val="num" w:pos="2160"/>
        </w:tabs>
        <w:ind w:left="2160" w:hanging="360"/>
      </w:pPr>
      <w:rPr>
        <w:rFonts w:ascii="Arial" w:hAnsi="Arial" w:hint="default"/>
      </w:rPr>
    </w:lvl>
    <w:lvl w:ilvl="3" w:tplc="8CAC1494" w:tentative="1">
      <w:start w:val="1"/>
      <w:numFmt w:val="bullet"/>
      <w:lvlText w:val="•"/>
      <w:lvlJc w:val="left"/>
      <w:pPr>
        <w:tabs>
          <w:tab w:val="num" w:pos="2880"/>
        </w:tabs>
        <w:ind w:left="2880" w:hanging="360"/>
      </w:pPr>
      <w:rPr>
        <w:rFonts w:ascii="Arial" w:hAnsi="Arial" w:hint="default"/>
      </w:rPr>
    </w:lvl>
    <w:lvl w:ilvl="4" w:tplc="B19E8E82" w:tentative="1">
      <w:start w:val="1"/>
      <w:numFmt w:val="bullet"/>
      <w:lvlText w:val="•"/>
      <w:lvlJc w:val="left"/>
      <w:pPr>
        <w:tabs>
          <w:tab w:val="num" w:pos="3600"/>
        </w:tabs>
        <w:ind w:left="3600" w:hanging="360"/>
      </w:pPr>
      <w:rPr>
        <w:rFonts w:ascii="Arial" w:hAnsi="Arial" w:hint="default"/>
      </w:rPr>
    </w:lvl>
    <w:lvl w:ilvl="5" w:tplc="87122F44" w:tentative="1">
      <w:start w:val="1"/>
      <w:numFmt w:val="bullet"/>
      <w:lvlText w:val="•"/>
      <w:lvlJc w:val="left"/>
      <w:pPr>
        <w:tabs>
          <w:tab w:val="num" w:pos="4320"/>
        </w:tabs>
        <w:ind w:left="4320" w:hanging="360"/>
      </w:pPr>
      <w:rPr>
        <w:rFonts w:ascii="Arial" w:hAnsi="Arial" w:hint="default"/>
      </w:rPr>
    </w:lvl>
    <w:lvl w:ilvl="6" w:tplc="C6926BEA" w:tentative="1">
      <w:start w:val="1"/>
      <w:numFmt w:val="bullet"/>
      <w:lvlText w:val="•"/>
      <w:lvlJc w:val="left"/>
      <w:pPr>
        <w:tabs>
          <w:tab w:val="num" w:pos="5040"/>
        </w:tabs>
        <w:ind w:left="5040" w:hanging="360"/>
      </w:pPr>
      <w:rPr>
        <w:rFonts w:ascii="Arial" w:hAnsi="Arial" w:hint="default"/>
      </w:rPr>
    </w:lvl>
    <w:lvl w:ilvl="7" w:tplc="4FFC08E4" w:tentative="1">
      <w:start w:val="1"/>
      <w:numFmt w:val="bullet"/>
      <w:lvlText w:val="•"/>
      <w:lvlJc w:val="left"/>
      <w:pPr>
        <w:tabs>
          <w:tab w:val="num" w:pos="5760"/>
        </w:tabs>
        <w:ind w:left="5760" w:hanging="360"/>
      </w:pPr>
      <w:rPr>
        <w:rFonts w:ascii="Arial" w:hAnsi="Arial" w:hint="default"/>
      </w:rPr>
    </w:lvl>
    <w:lvl w:ilvl="8" w:tplc="8870BB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2304D7"/>
    <w:multiLevelType w:val="hybridMultilevel"/>
    <w:tmpl w:val="A9B4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D0D06"/>
    <w:multiLevelType w:val="hybridMultilevel"/>
    <w:tmpl w:val="C5A6F4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152EA4"/>
    <w:multiLevelType w:val="hybridMultilevel"/>
    <w:tmpl w:val="22940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915439"/>
    <w:multiLevelType w:val="hybridMultilevel"/>
    <w:tmpl w:val="BEA8A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AF665D"/>
    <w:multiLevelType w:val="hybridMultilevel"/>
    <w:tmpl w:val="83C83158"/>
    <w:lvl w:ilvl="0" w:tplc="6B367CC2">
      <w:start w:val="1"/>
      <w:numFmt w:val="bullet"/>
      <w:lvlText w:val="•"/>
      <w:lvlJc w:val="left"/>
      <w:pPr>
        <w:tabs>
          <w:tab w:val="num" w:pos="720"/>
        </w:tabs>
        <w:ind w:left="720" w:hanging="360"/>
      </w:pPr>
      <w:rPr>
        <w:rFonts w:ascii="Arial" w:hAnsi="Arial" w:hint="default"/>
      </w:rPr>
    </w:lvl>
    <w:lvl w:ilvl="1" w:tplc="B9104FE6">
      <w:numFmt w:val="bullet"/>
      <w:lvlText w:val="•"/>
      <w:lvlJc w:val="left"/>
      <w:pPr>
        <w:tabs>
          <w:tab w:val="num" w:pos="1440"/>
        </w:tabs>
        <w:ind w:left="1440" w:hanging="360"/>
      </w:pPr>
      <w:rPr>
        <w:rFonts w:ascii="Arial" w:hAnsi="Arial" w:hint="default"/>
      </w:rPr>
    </w:lvl>
    <w:lvl w:ilvl="2" w:tplc="C0E46D44" w:tentative="1">
      <w:start w:val="1"/>
      <w:numFmt w:val="bullet"/>
      <w:lvlText w:val="•"/>
      <w:lvlJc w:val="left"/>
      <w:pPr>
        <w:tabs>
          <w:tab w:val="num" w:pos="2160"/>
        </w:tabs>
        <w:ind w:left="2160" w:hanging="360"/>
      </w:pPr>
      <w:rPr>
        <w:rFonts w:ascii="Arial" w:hAnsi="Arial" w:hint="default"/>
      </w:rPr>
    </w:lvl>
    <w:lvl w:ilvl="3" w:tplc="5310F5E6" w:tentative="1">
      <w:start w:val="1"/>
      <w:numFmt w:val="bullet"/>
      <w:lvlText w:val="•"/>
      <w:lvlJc w:val="left"/>
      <w:pPr>
        <w:tabs>
          <w:tab w:val="num" w:pos="2880"/>
        </w:tabs>
        <w:ind w:left="2880" w:hanging="360"/>
      </w:pPr>
      <w:rPr>
        <w:rFonts w:ascii="Arial" w:hAnsi="Arial" w:hint="default"/>
      </w:rPr>
    </w:lvl>
    <w:lvl w:ilvl="4" w:tplc="11240F4A" w:tentative="1">
      <w:start w:val="1"/>
      <w:numFmt w:val="bullet"/>
      <w:lvlText w:val="•"/>
      <w:lvlJc w:val="left"/>
      <w:pPr>
        <w:tabs>
          <w:tab w:val="num" w:pos="3600"/>
        </w:tabs>
        <w:ind w:left="3600" w:hanging="360"/>
      </w:pPr>
      <w:rPr>
        <w:rFonts w:ascii="Arial" w:hAnsi="Arial" w:hint="default"/>
      </w:rPr>
    </w:lvl>
    <w:lvl w:ilvl="5" w:tplc="EF46FCA4" w:tentative="1">
      <w:start w:val="1"/>
      <w:numFmt w:val="bullet"/>
      <w:lvlText w:val="•"/>
      <w:lvlJc w:val="left"/>
      <w:pPr>
        <w:tabs>
          <w:tab w:val="num" w:pos="4320"/>
        </w:tabs>
        <w:ind w:left="4320" w:hanging="360"/>
      </w:pPr>
      <w:rPr>
        <w:rFonts w:ascii="Arial" w:hAnsi="Arial" w:hint="default"/>
      </w:rPr>
    </w:lvl>
    <w:lvl w:ilvl="6" w:tplc="AC769F64" w:tentative="1">
      <w:start w:val="1"/>
      <w:numFmt w:val="bullet"/>
      <w:lvlText w:val="•"/>
      <w:lvlJc w:val="left"/>
      <w:pPr>
        <w:tabs>
          <w:tab w:val="num" w:pos="5040"/>
        </w:tabs>
        <w:ind w:left="5040" w:hanging="360"/>
      </w:pPr>
      <w:rPr>
        <w:rFonts w:ascii="Arial" w:hAnsi="Arial" w:hint="default"/>
      </w:rPr>
    </w:lvl>
    <w:lvl w:ilvl="7" w:tplc="4A0AD1CC" w:tentative="1">
      <w:start w:val="1"/>
      <w:numFmt w:val="bullet"/>
      <w:lvlText w:val="•"/>
      <w:lvlJc w:val="left"/>
      <w:pPr>
        <w:tabs>
          <w:tab w:val="num" w:pos="5760"/>
        </w:tabs>
        <w:ind w:left="5760" w:hanging="360"/>
      </w:pPr>
      <w:rPr>
        <w:rFonts w:ascii="Arial" w:hAnsi="Arial" w:hint="default"/>
      </w:rPr>
    </w:lvl>
    <w:lvl w:ilvl="8" w:tplc="0D9EC4EA" w:tentative="1">
      <w:start w:val="1"/>
      <w:numFmt w:val="bullet"/>
      <w:lvlText w:val="•"/>
      <w:lvlJc w:val="left"/>
      <w:pPr>
        <w:tabs>
          <w:tab w:val="num" w:pos="6480"/>
        </w:tabs>
        <w:ind w:left="6480" w:hanging="360"/>
      </w:pPr>
      <w:rPr>
        <w:rFonts w:ascii="Arial" w:hAnsi="Arial" w:hint="default"/>
      </w:rPr>
    </w:lvl>
  </w:abstractNum>
  <w:num w:numId="1" w16cid:durableId="713232746">
    <w:abstractNumId w:val="1"/>
  </w:num>
  <w:num w:numId="2" w16cid:durableId="647902209">
    <w:abstractNumId w:val="2"/>
  </w:num>
  <w:num w:numId="3" w16cid:durableId="958680936">
    <w:abstractNumId w:val="4"/>
  </w:num>
  <w:num w:numId="4" w16cid:durableId="863791939">
    <w:abstractNumId w:val="0"/>
  </w:num>
  <w:num w:numId="5" w16cid:durableId="1744713942">
    <w:abstractNumId w:val="5"/>
  </w:num>
  <w:num w:numId="6" w16cid:durableId="182667299">
    <w:abstractNumId w:val="3"/>
  </w:num>
  <w:num w:numId="7" w16cid:durableId="732240551">
    <w:abstractNumId w:val="4"/>
    <w:lvlOverride w:ilvl="0"/>
    <w:lvlOverride w:ilvl="1"/>
    <w:lvlOverride w:ilvl="2"/>
    <w:lvlOverride w:ilvl="3"/>
    <w:lvlOverride w:ilvl="4"/>
    <w:lvlOverride w:ilvl="5"/>
    <w:lvlOverride w:ilvl="6"/>
    <w:lvlOverride w:ilvl="7"/>
    <w:lvlOverride w:ilvl="8"/>
  </w:num>
  <w:num w:numId="8" w16cid:durableId="1875078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2816496||2~1||3~Proposed Changes to Design Review and related parts of the Laguna Beach Municipal Code||5~JANE.ABZUG||6~JANE.ABZUG||7~WORDX||8~ORDINANCES||10~10/14/2024 5:31:13 PM||11~10/14/2024 5:31:13 PM||13~340551||14~False||17~public||18~JANE.ABZUG||19~JANE.ABZUG||21~True||22~True||23~False||25~55852||26~00004||53~7095||54~6310||60~LAGUNA BEACH, CITY OF||61~COMMUNITY DEVELOPMENT (RETAINER)||74~Jane Abzug||75~Jane Abzug||76~WORD 2007||77~Ordinances||82~docx||85~10/14/2024 5:31:13 PM||99~1/1/0001 12:00:00 AM||106~N:\iManage\Recent\(55852.00004) LAGUNA BEACH_ CITY OF - COMMUNITY DEVELOPMENT (RETAINER)\Proposed Changes to Design Review and related parts of the Laguna Beach Municipal Code(42816496.1).docx||107~1/1/0001 12:00:00 AM||109~10/15/2024 4:14:16 PM||113~10/14/2024 5:31:13 PM||114~10/14/2024 5:31:13 PM||124~False||"/>
  </w:docVars>
  <w:rsids>
    <w:rsidRoot w:val="004D7062"/>
    <w:rsid w:val="00007602"/>
    <w:rsid w:val="00007BF7"/>
    <w:rsid w:val="000141F6"/>
    <w:rsid w:val="0005330E"/>
    <w:rsid w:val="0005409A"/>
    <w:rsid w:val="00070A61"/>
    <w:rsid w:val="00074419"/>
    <w:rsid w:val="00080FFD"/>
    <w:rsid w:val="000A4374"/>
    <w:rsid w:val="000A527B"/>
    <w:rsid w:val="000C0265"/>
    <w:rsid w:val="000C350D"/>
    <w:rsid w:val="000C75A9"/>
    <w:rsid w:val="000D7182"/>
    <w:rsid w:val="000E3423"/>
    <w:rsid w:val="00111752"/>
    <w:rsid w:val="0012637C"/>
    <w:rsid w:val="00134122"/>
    <w:rsid w:val="00137271"/>
    <w:rsid w:val="00147E5D"/>
    <w:rsid w:val="00150198"/>
    <w:rsid w:val="001564B4"/>
    <w:rsid w:val="00190A2D"/>
    <w:rsid w:val="00193499"/>
    <w:rsid w:val="001A0AFF"/>
    <w:rsid w:val="001E1DAC"/>
    <w:rsid w:val="001E339E"/>
    <w:rsid w:val="00203C91"/>
    <w:rsid w:val="002325BD"/>
    <w:rsid w:val="00232D2B"/>
    <w:rsid w:val="00233265"/>
    <w:rsid w:val="00235269"/>
    <w:rsid w:val="00240CCC"/>
    <w:rsid w:val="002640C8"/>
    <w:rsid w:val="002A6E84"/>
    <w:rsid w:val="002B1FDC"/>
    <w:rsid w:val="002D1FB7"/>
    <w:rsid w:val="002E0059"/>
    <w:rsid w:val="002E7965"/>
    <w:rsid w:val="002F1126"/>
    <w:rsid w:val="00313A63"/>
    <w:rsid w:val="003477DE"/>
    <w:rsid w:val="00360391"/>
    <w:rsid w:val="00360564"/>
    <w:rsid w:val="00376DA3"/>
    <w:rsid w:val="003934C6"/>
    <w:rsid w:val="003A1219"/>
    <w:rsid w:val="003A57C1"/>
    <w:rsid w:val="003A6EA3"/>
    <w:rsid w:val="003B08D9"/>
    <w:rsid w:val="003B09E7"/>
    <w:rsid w:val="003B4D86"/>
    <w:rsid w:val="003B5764"/>
    <w:rsid w:val="003D3EAA"/>
    <w:rsid w:val="003F4FB5"/>
    <w:rsid w:val="004074D5"/>
    <w:rsid w:val="00410122"/>
    <w:rsid w:val="00415F7F"/>
    <w:rsid w:val="00433014"/>
    <w:rsid w:val="004426BB"/>
    <w:rsid w:val="00457F73"/>
    <w:rsid w:val="00462B8C"/>
    <w:rsid w:val="00473E79"/>
    <w:rsid w:val="0048102E"/>
    <w:rsid w:val="00490111"/>
    <w:rsid w:val="00496A2E"/>
    <w:rsid w:val="004B5247"/>
    <w:rsid w:val="004C3B23"/>
    <w:rsid w:val="004D53E9"/>
    <w:rsid w:val="004D60B2"/>
    <w:rsid w:val="004D7062"/>
    <w:rsid w:val="004E147B"/>
    <w:rsid w:val="004E602D"/>
    <w:rsid w:val="004F5F07"/>
    <w:rsid w:val="0050089F"/>
    <w:rsid w:val="00515F18"/>
    <w:rsid w:val="005610DF"/>
    <w:rsid w:val="00567F52"/>
    <w:rsid w:val="00574FE8"/>
    <w:rsid w:val="005E2EA5"/>
    <w:rsid w:val="005E507A"/>
    <w:rsid w:val="005F1A7C"/>
    <w:rsid w:val="00610781"/>
    <w:rsid w:val="00611C62"/>
    <w:rsid w:val="00636A66"/>
    <w:rsid w:val="00664FE2"/>
    <w:rsid w:val="00666D18"/>
    <w:rsid w:val="006779D0"/>
    <w:rsid w:val="00687A0C"/>
    <w:rsid w:val="00691A85"/>
    <w:rsid w:val="00697F05"/>
    <w:rsid w:val="006A4DE3"/>
    <w:rsid w:val="006B1C39"/>
    <w:rsid w:val="006D4CFE"/>
    <w:rsid w:val="006D5B17"/>
    <w:rsid w:val="006F2C3B"/>
    <w:rsid w:val="006F7CC7"/>
    <w:rsid w:val="0070466B"/>
    <w:rsid w:val="00720AF1"/>
    <w:rsid w:val="00725627"/>
    <w:rsid w:val="0073281A"/>
    <w:rsid w:val="0073680D"/>
    <w:rsid w:val="007414AD"/>
    <w:rsid w:val="00742EA2"/>
    <w:rsid w:val="00752BA2"/>
    <w:rsid w:val="007771F4"/>
    <w:rsid w:val="0078580C"/>
    <w:rsid w:val="007A4229"/>
    <w:rsid w:val="007A6BB7"/>
    <w:rsid w:val="007B4075"/>
    <w:rsid w:val="007F0EA9"/>
    <w:rsid w:val="007F542F"/>
    <w:rsid w:val="008010CF"/>
    <w:rsid w:val="00812EBE"/>
    <w:rsid w:val="008177CA"/>
    <w:rsid w:val="00833884"/>
    <w:rsid w:val="00835EE7"/>
    <w:rsid w:val="00840892"/>
    <w:rsid w:val="00841CE7"/>
    <w:rsid w:val="00876FCD"/>
    <w:rsid w:val="00886604"/>
    <w:rsid w:val="00890AE2"/>
    <w:rsid w:val="00895BA0"/>
    <w:rsid w:val="008B048D"/>
    <w:rsid w:val="008F4F1A"/>
    <w:rsid w:val="00920A95"/>
    <w:rsid w:val="0092279A"/>
    <w:rsid w:val="00925AE0"/>
    <w:rsid w:val="009400FF"/>
    <w:rsid w:val="00957CA9"/>
    <w:rsid w:val="00977BFF"/>
    <w:rsid w:val="0098420E"/>
    <w:rsid w:val="00996ABE"/>
    <w:rsid w:val="009A4400"/>
    <w:rsid w:val="009A7EBA"/>
    <w:rsid w:val="009B3E15"/>
    <w:rsid w:val="009C3061"/>
    <w:rsid w:val="009E1734"/>
    <w:rsid w:val="00A023C0"/>
    <w:rsid w:val="00A07622"/>
    <w:rsid w:val="00A173AA"/>
    <w:rsid w:val="00A17902"/>
    <w:rsid w:val="00A355E6"/>
    <w:rsid w:val="00A470D3"/>
    <w:rsid w:val="00A70859"/>
    <w:rsid w:val="00A7216C"/>
    <w:rsid w:val="00A738F4"/>
    <w:rsid w:val="00AA262D"/>
    <w:rsid w:val="00AB1384"/>
    <w:rsid w:val="00AB4105"/>
    <w:rsid w:val="00AD0952"/>
    <w:rsid w:val="00AE07C3"/>
    <w:rsid w:val="00AE3D50"/>
    <w:rsid w:val="00AE458A"/>
    <w:rsid w:val="00B07130"/>
    <w:rsid w:val="00B17B6C"/>
    <w:rsid w:val="00B42460"/>
    <w:rsid w:val="00B443BD"/>
    <w:rsid w:val="00B762ED"/>
    <w:rsid w:val="00B86E4A"/>
    <w:rsid w:val="00BA433C"/>
    <w:rsid w:val="00BA752F"/>
    <w:rsid w:val="00BC6A81"/>
    <w:rsid w:val="00BC7E8D"/>
    <w:rsid w:val="00BD61D0"/>
    <w:rsid w:val="00BF4CF5"/>
    <w:rsid w:val="00BF61E1"/>
    <w:rsid w:val="00C02683"/>
    <w:rsid w:val="00C062C5"/>
    <w:rsid w:val="00C14DA2"/>
    <w:rsid w:val="00C22C09"/>
    <w:rsid w:val="00C25347"/>
    <w:rsid w:val="00C42191"/>
    <w:rsid w:val="00C77B1A"/>
    <w:rsid w:val="00CB0BA6"/>
    <w:rsid w:val="00CD567C"/>
    <w:rsid w:val="00CE4AF4"/>
    <w:rsid w:val="00D03FC7"/>
    <w:rsid w:val="00D10648"/>
    <w:rsid w:val="00D26005"/>
    <w:rsid w:val="00D354CC"/>
    <w:rsid w:val="00D42333"/>
    <w:rsid w:val="00D76FE0"/>
    <w:rsid w:val="00D86A61"/>
    <w:rsid w:val="00DC76BC"/>
    <w:rsid w:val="00DE3214"/>
    <w:rsid w:val="00E01003"/>
    <w:rsid w:val="00E05CB2"/>
    <w:rsid w:val="00E14E05"/>
    <w:rsid w:val="00E15C92"/>
    <w:rsid w:val="00E36CBA"/>
    <w:rsid w:val="00E473ED"/>
    <w:rsid w:val="00E50D9E"/>
    <w:rsid w:val="00E51DFD"/>
    <w:rsid w:val="00E5431C"/>
    <w:rsid w:val="00E603C6"/>
    <w:rsid w:val="00E65B1E"/>
    <w:rsid w:val="00E75387"/>
    <w:rsid w:val="00EB01DC"/>
    <w:rsid w:val="00EB6B8A"/>
    <w:rsid w:val="00ED3BA5"/>
    <w:rsid w:val="00EE42A0"/>
    <w:rsid w:val="00F16C15"/>
    <w:rsid w:val="00F561CB"/>
    <w:rsid w:val="00F65EBB"/>
    <w:rsid w:val="00F704DE"/>
    <w:rsid w:val="00F8372B"/>
    <w:rsid w:val="00FA7863"/>
    <w:rsid w:val="00FB028C"/>
    <w:rsid w:val="00FD5D37"/>
    <w:rsid w:val="00FF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B9F9"/>
  <w15:chartTrackingRefBased/>
  <w15:docId w15:val="{4DC2EAEC-87EC-491B-89B7-88FEA3DB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0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0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0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0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0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0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0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0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0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0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0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0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062"/>
    <w:rPr>
      <w:rFonts w:eastAsiaTheme="majorEastAsia" w:cstheme="majorBidi"/>
      <w:color w:val="272727" w:themeColor="text1" w:themeTint="D8"/>
    </w:rPr>
  </w:style>
  <w:style w:type="paragraph" w:styleId="Title">
    <w:name w:val="Title"/>
    <w:basedOn w:val="Normal"/>
    <w:next w:val="Normal"/>
    <w:link w:val="TitleChar"/>
    <w:uiPriority w:val="10"/>
    <w:qFormat/>
    <w:rsid w:val="004D7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0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062"/>
    <w:pPr>
      <w:spacing w:before="160"/>
      <w:jc w:val="center"/>
    </w:pPr>
    <w:rPr>
      <w:i/>
      <w:iCs/>
      <w:color w:val="404040" w:themeColor="text1" w:themeTint="BF"/>
    </w:rPr>
  </w:style>
  <w:style w:type="character" w:customStyle="1" w:styleId="QuoteChar">
    <w:name w:val="Quote Char"/>
    <w:basedOn w:val="DefaultParagraphFont"/>
    <w:link w:val="Quote"/>
    <w:uiPriority w:val="29"/>
    <w:rsid w:val="004D7062"/>
    <w:rPr>
      <w:i/>
      <w:iCs/>
      <w:color w:val="404040" w:themeColor="text1" w:themeTint="BF"/>
    </w:rPr>
  </w:style>
  <w:style w:type="paragraph" w:styleId="ListParagraph">
    <w:name w:val="List Paragraph"/>
    <w:basedOn w:val="Normal"/>
    <w:uiPriority w:val="34"/>
    <w:qFormat/>
    <w:rsid w:val="004D7062"/>
    <w:pPr>
      <w:ind w:left="720"/>
      <w:contextualSpacing/>
    </w:pPr>
  </w:style>
  <w:style w:type="character" w:styleId="IntenseEmphasis">
    <w:name w:val="Intense Emphasis"/>
    <w:basedOn w:val="DefaultParagraphFont"/>
    <w:uiPriority w:val="21"/>
    <w:qFormat/>
    <w:rsid w:val="004D7062"/>
    <w:rPr>
      <w:i/>
      <w:iCs/>
      <w:color w:val="0F4761" w:themeColor="accent1" w:themeShade="BF"/>
    </w:rPr>
  </w:style>
  <w:style w:type="paragraph" w:styleId="IntenseQuote">
    <w:name w:val="Intense Quote"/>
    <w:basedOn w:val="Normal"/>
    <w:next w:val="Normal"/>
    <w:link w:val="IntenseQuoteChar"/>
    <w:uiPriority w:val="30"/>
    <w:qFormat/>
    <w:rsid w:val="004D7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062"/>
    <w:rPr>
      <w:i/>
      <w:iCs/>
      <w:color w:val="0F4761" w:themeColor="accent1" w:themeShade="BF"/>
    </w:rPr>
  </w:style>
  <w:style w:type="character" w:styleId="IntenseReference">
    <w:name w:val="Intense Reference"/>
    <w:basedOn w:val="DefaultParagraphFont"/>
    <w:uiPriority w:val="32"/>
    <w:qFormat/>
    <w:rsid w:val="004D7062"/>
    <w:rPr>
      <w:b/>
      <w:bCs/>
      <w:smallCaps/>
      <w:color w:val="0F4761" w:themeColor="accent1" w:themeShade="BF"/>
      <w:spacing w:val="5"/>
    </w:rPr>
  </w:style>
  <w:style w:type="paragraph" w:styleId="Header">
    <w:name w:val="header"/>
    <w:basedOn w:val="Normal"/>
    <w:link w:val="HeaderChar"/>
    <w:uiPriority w:val="99"/>
    <w:unhideWhenUsed/>
    <w:rsid w:val="00232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D2B"/>
  </w:style>
  <w:style w:type="paragraph" w:styleId="Footer">
    <w:name w:val="footer"/>
    <w:basedOn w:val="Normal"/>
    <w:link w:val="FooterChar"/>
    <w:uiPriority w:val="99"/>
    <w:unhideWhenUsed/>
    <w:rsid w:val="00232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2B"/>
  </w:style>
  <w:style w:type="character" w:styleId="CommentReference">
    <w:name w:val="annotation reference"/>
    <w:basedOn w:val="DefaultParagraphFont"/>
    <w:uiPriority w:val="99"/>
    <w:semiHidden/>
    <w:unhideWhenUsed/>
    <w:rsid w:val="00C22C09"/>
    <w:rPr>
      <w:sz w:val="16"/>
      <w:szCs w:val="16"/>
    </w:rPr>
  </w:style>
  <w:style w:type="paragraph" w:styleId="CommentText">
    <w:name w:val="annotation text"/>
    <w:basedOn w:val="Normal"/>
    <w:link w:val="CommentTextChar"/>
    <w:uiPriority w:val="99"/>
    <w:semiHidden/>
    <w:unhideWhenUsed/>
    <w:rsid w:val="00C22C09"/>
    <w:pPr>
      <w:spacing w:line="240" w:lineRule="auto"/>
    </w:pPr>
    <w:rPr>
      <w:sz w:val="20"/>
      <w:szCs w:val="20"/>
    </w:rPr>
  </w:style>
  <w:style w:type="character" w:customStyle="1" w:styleId="CommentTextChar">
    <w:name w:val="Comment Text Char"/>
    <w:basedOn w:val="DefaultParagraphFont"/>
    <w:link w:val="CommentText"/>
    <w:uiPriority w:val="99"/>
    <w:semiHidden/>
    <w:rsid w:val="00C22C09"/>
    <w:rPr>
      <w:sz w:val="20"/>
      <w:szCs w:val="20"/>
    </w:rPr>
  </w:style>
  <w:style w:type="paragraph" w:styleId="CommentSubject">
    <w:name w:val="annotation subject"/>
    <w:basedOn w:val="CommentText"/>
    <w:next w:val="CommentText"/>
    <w:link w:val="CommentSubjectChar"/>
    <w:uiPriority w:val="99"/>
    <w:semiHidden/>
    <w:unhideWhenUsed/>
    <w:rsid w:val="00C22C09"/>
    <w:rPr>
      <w:b/>
      <w:bCs/>
    </w:rPr>
  </w:style>
  <w:style w:type="character" w:customStyle="1" w:styleId="CommentSubjectChar">
    <w:name w:val="Comment Subject Char"/>
    <w:basedOn w:val="CommentTextChar"/>
    <w:link w:val="CommentSubject"/>
    <w:uiPriority w:val="99"/>
    <w:semiHidden/>
    <w:rsid w:val="00C22C09"/>
    <w:rPr>
      <w:b/>
      <w:bCs/>
      <w:sz w:val="20"/>
      <w:szCs w:val="20"/>
    </w:rPr>
  </w:style>
  <w:style w:type="paragraph" w:styleId="BalloonText">
    <w:name w:val="Balloon Text"/>
    <w:basedOn w:val="Normal"/>
    <w:link w:val="BalloonTextChar"/>
    <w:uiPriority w:val="99"/>
    <w:semiHidden/>
    <w:unhideWhenUsed/>
    <w:rsid w:val="00C22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C09"/>
    <w:rPr>
      <w:rFonts w:ascii="Segoe UI" w:hAnsi="Segoe UI" w:cs="Segoe UI"/>
      <w:sz w:val="18"/>
      <w:szCs w:val="18"/>
    </w:rPr>
  </w:style>
  <w:style w:type="paragraph" w:styleId="FootnoteText">
    <w:name w:val="footnote text"/>
    <w:basedOn w:val="Normal"/>
    <w:link w:val="FootnoteTextChar"/>
    <w:uiPriority w:val="99"/>
    <w:semiHidden/>
    <w:unhideWhenUsed/>
    <w:rsid w:val="00CD56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67C"/>
    <w:rPr>
      <w:sz w:val="20"/>
      <w:szCs w:val="20"/>
    </w:rPr>
  </w:style>
  <w:style w:type="character" w:styleId="FootnoteReference">
    <w:name w:val="footnote reference"/>
    <w:basedOn w:val="DefaultParagraphFont"/>
    <w:uiPriority w:val="99"/>
    <w:semiHidden/>
    <w:unhideWhenUsed/>
    <w:rsid w:val="00CD567C"/>
    <w:rPr>
      <w:vertAlign w:val="superscript"/>
    </w:rPr>
  </w:style>
  <w:style w:type="paragraph" w:styleId="Revision">
    <w:name w:val="Revision"/>
    <w:hidden/>
    <w:uiPriority w:val="99"/>
    <w:semiHidden/>
    <w:rsid w:val="007F5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1366">
      <w:bodyDiv w:val="1"/>
      <w:marLeft w:val="0"/>
      <w:marRight w:val="0"/>
      <w:marTop w:val="0"/>
      <w:marBottom w:val="0"/>
      <w:divBdr>
        <w:top w:val="none" w:sz="0" w:space="0" w:color="auto"/>
        <w:left w:val="none" w:sz="0" w:space="0" w:color="auto"/>
        <w:bottom w:val="none" w:sz="0" w:space="0" w:color="auto"/>
        <w:right w:val="none" w:sz="0" w:space="0" w:color="auto"/>
      </w:divBdr>
    </w:div>
    <w:div w:id="227886635">
      <w:bodyDiv w:val="1"/>
      <w:marLeft w:val="0"/>
      <w:marRight w:val="0"/>
      <w:marTop w:val="0"/>
      <w:marBottom w:val="0"/>
      <w:divBdr>
        <w:top w:val="none" w:sz="0" w:space="0" w:color="auto"/>
        <w:left w:val="none" w:sz="0" w:space="0" w:color="auto"/>
        <w:bottom w:val="none" w:sz="0" w:space="0" w:color="auto"/>
        <w:right w:val="none" w:sz="0" w:space="0" w:color="auto"/>
      </w:divBdr>
      <w:divsChild>
        <w:div w:id="1589271715">
          <w:marLeft w:val="1080"/>
          <w:marRight w:val="0"/>
          <w:marTop w:val="100"/>
          <w:marBottom w:val="0"/>
          <w:divBdr>
            <w:top w:val="none" w:sz="0" w:space="0" w:color="auto"/>
            <w:left w:val="none" w:sz="0" w:space="0" w:color="auto"/>
            <w:bottom w:val="none" w:sz="0" w:space="0" w:color="auto"/>
            <w:right w:val="none" w:sz="0" w:space="0" w:color="auto"/>
          </w:divBdr>
        </w:div>
      </w:divsChild>
    </w:div>
    <w:div w:id="544828156">
      <w:bodyDiv w:val="1"/>
      <w:marLeft w:val="0"/>
      <w:marRight w:val="0"/>
      <w:marTop w:val="0"/>
      <w:marBottom w:val="0"/>
      <w:divBdr>
        <w:top w:val="none" w:sz="0" w:space="0" w:color="auto"/>
        <w:left w:val="none" w:sz="0" w:space="0" w:color="auto"/>
        <w:bottom w:val="none" w:sz="0" w:space="0" w:color="auto"/>
        <w:right w:val="none" w:sz="0" w:space="0" w:color="auto"/>
      </w:divBdr>
      <w:divsChild>
        <w:div w:id="2136017962">
          <w:marLeft w:val="360"/>
          <w:marRight w:val="0"/>
          <w:marTop w:val="200"/>
          <w:marBottom w:val="0"/>
          <w:divBdr>
            <w:top w:val="none" w:sz="0" w:space="0" w:color="auto"/>
            <w:left w:val="none" w:sz="0" w:space="0" w:color="auto"/>
            <w:bottom w:val="none" w:sz="0" w:space="0" w:color="auto"/>
            <w:right w:val="none" w:sz="0" w:space="0" w:color="auto"/>
          </w:divBdr>
        </w:div>
        <w:div w:id="1467703069">
          <w:marLeft w:val="1080"/>
          <w:marRight w:val="0"/>
          <w:marTop w:val="100"/>
          <w:marBottom w:val="0"/>
          <w:divBdr>
            <w:top w:val="none" w:sz="0" w:space="0" w:color="auto"/>
            <w:left w:val="none" w:sz="0" w:space="0" w:color="auto"/>
            <w:bottom w:val="none" w:sz="0" w:space="0" w:color="auto"/>
            <w:right w:val="none" w:sz="0" w:space="0" w:color="auto"/>
          </w:divBdr>
        </w:div>
        <w:div w:id="566453232">
          <w:marLeft w:val="1080"/>
          <w:marRight w:val="0"/>
          <w:marTop w:val="100"/>
          <w:marBottom w:val="0"/>
          <w:divBdr>
            <w:top w:val="none" w:sz="0" w:space="0" w:color="auto"/>
            <w:left w:val="none" w:sz="0" w:space="0" w:color="auto"/>
            <w:bottom w:val="none" w:sz="0" w:space="0" w:color="auto"/>
            <w:right w:val="none" w:sz="0" w:space="0" w:color="auto"/>
          </w:divBdr>
        </w:div>
      </w:divsChild>
    </w:div>
    <w:div w:id="5509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4F0F6-434E-4269-BF97-96823540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1508</Words>
  <Characters>8598</Characters>
  <Application>Microsoft Office Word</Application>
  <DocSecurity>0</DocSecurity>
  <Lines>71</Lines>
  <Paragraphs>20</Paragraphs>
  <ScaleCrop>false</ScaleCrop>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Kiff, Dave CM</dc:creator>
  <cp:lastModifiedBy>Kiff, Dave CM</cp:lastModifiedBy>
  <cp:revision>7</cp:revision>
  <dcterms:created xsi:type="dcterms:W3CDTF">2024-10-15T22:49:00Z</dcterms:created>
  <dcterms:modified xsi:type="dcterms:W3CDTF">2024-10-16T15:55:00Z</dcterms:modified>
</cp:coreProperties>
</file>